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365" w:rsidRDefault="008D4B2E">
      <w:pPr>
        <w:spacing w:before="2400" w:line="773" w:lineRule="exact"/>
        <w:jc w:val="center"/>
        <w:rPr>
          <w:rFonts w:ascii="宋体" w:eastAsia="宋体" w:hAnsi="宋体" w:cs="宋体"/>
          <w:b/>
          <w:bCs/>
          <w:sz w:val="36"/>
          <w:szCs w:val="36"/>
        </w:rPr>
      </w:pPr>
      <w:proofErr w:type="gramStart"/>
      <w:r>
        <w:rPr>
          <w:rFonts w:ascii="宋体" w:eastAsia="宋体" w:hAnsi="宋体" w:cs="宋体"/>
          <w:b/>
          <w:bCs/>
          <w:sz w:val="36"/>
          <w:szCs w:val="36"/>
        </w:rPr>
        <w:t>软控股份有限公司</w:t>
      </w:r>
      <w:proofErr w:type="gramEnd"/>
    </w:p>
    <w:p w:rsidR="00BA0365" w:rsidRDefault="008D4B2E">
      <w:pPr>
        <w:spacing w:before="1000" w:line="240" w:lineRule="exact"/>
        <w:jc w:val="center"/>
        <w:rPr>
          <w:rFonts w:ascii="宋体" w:eastAsia="宋体" w:hAnsi="宋体" w:cs="宋体"/>
          <w:b/>
          <w:bCs/>
          <w:sz w:val="32"/>
          <w:szCs w:val="32"/>
        </w:rPr>
      </w:pPr>
      <w:r>
        <w:rPr>
          <w:rFonts w:ascii="宋体" w:eastAsia="宋体" w:hAnsi="宋体" w:cs="宋体"/>
          <w:b/>
          <w:bCs/>
          <w:sz w:val="32"/>
          <w:szCs w:val="32"/>
        </w:rPr>
        <w:t>2023年年度报告</w:t>
      </w:r>
    </w:p>
    <w:p w:rsidR="00BA0365" w:rsidRDefault="00BA0365">
      <w:pPr>
        <w:spacing w:before="1000" w:line="240" w:lineRule="exact"/>
        <w:jc w:val="center"/>
        <w:rPr>
          <w:rFonts w:ascii="宋体" w:eastAsia="宋体" w:hAnsi="宋体" w:cs="宋体"/>
          <w:b/>
          <w:bCs/>
          <w:szCs w:val="21"/>
        </w:rPr>
      </w:pPr>
    </w:p>
    <w:p w:rsidR="00BA0365" w:rsidRDefault="00BA0365">
      <w:pPr>
        <w:spacing w:before="1000" w:after="1000" w:line="0" w:lineRule="atLeast"/>
        <w:jc w:val="center"/>
        <w:rPr>
          <w:rFonts w:ascii="Times New Roman" w:eastAsia="宋体" w:hAnsi="Times New Roman" w:cs="Times New Roman"/>
        </w:rPr>
      </w:pPr>
    </w:p>
    <w:p w:rsidR="00BA0365" w:rsidRDefault="008D4B2E">
      <w:pPr>
        <w:spacing w:before="400" w:line="320" w:lineRule="exact"/>
        <w:jc w:val="center"/>
        <w:rPr>
          <w:rFonts w:ascii="宋体" w:eastAsia="宋体" w:hAnsi="宋体" w:cs="宋体"/>
          <w:b/>
          <w:bCs/>
          <w:sz w:val="32"/>
          <w:szCs w:val="32"/>
        </w:rPr>
      </w:pPr>
      <w:r>
        <w:rPr>
          <w:rFonts w:ascii="宋体" w:eastAsia="宋体" w:hAnsi="宋体" w:cs="宋体" w:hint="eastAsia"/>
          <w:b/>
          <w:bCs/>
          <w:sz w:val="32"/>
          <w:szCs w:val="32"/>
        </w:rPr>
        <w:t>2</w:t>
      </w:r>
      <w:r>
        <w:rPr>
          <w:rFonts w:ascii="宋体" w:eastAsia="宋体" w:hAnsi="宋体" w:cs="宋体"/>
          <w:b/>
          <w:bCs/>
          <w:sz w:val="32"/>
          <w:szCs w:val="32"/>
        </w:rPr>
        <w:t>024年</w:t>
      </w:r>
      <w:r>
        <w:rPr>
          <w:rFonts w:ascii="宋体" w:eastAsia="宋体" w:hAnsi="宋体" w:cs="宋体" w:hint="eastAsia"/>
          <w:b/>
          <w:bCs/>
          <w:sz w:val="32"/>
          <w:szCs w:val="32"/>
        </w:rPr>
        <w:t>0</w:t>
      </w:r>
      <w:r>
        <w:rPr>
          <w:rFonts w:ascii="宋体" w:eastAsia="宋体" w:hAnsi="宋体" w:cs="宋体"/>
          <w:b/>
          <w:bCs/>
          <w:sz w:val="32"/>
          <w:szCs w:val="32"/>
        </w:rPr>
        <w:t>4月</w:t>
      </w:r>
    </w:p>
    <w:p w:rsidR="00BA0365" w:rsidRDefault="008D4B2E">
      <w:r>
        <w:br w:type="page"/>
      </w:r>
    </w:p>
    <w:p w:rsidR="00BA0365" w:rsidRDefault="008D4B2E">
      <w:pPr>
        <w:spacing w:before="1000" w:after="40" w:line="440" w:lineRule="exact"/>
        <w:jc w:val="center"/>
        <w:rPr>
          <w:rFonts w:ascii="宋体" w:eastAsia="宋体" w:hAnsi="宋体" w:cs="宋体"/>
          <w:b/>
          <w:bCs/>
          <w:sz w:val="44"/>
          <w:szCs w:val="44"/>
        </w:rPr>
      </w:pPr>
      <w:r>
        <w:rPr>
          <w:rFonts w:ascii="宋体" w:eastAsia="宋体" w:hAnsi="宋体" w:cs="宋体"/>
          <w:b/>
          <w:bCs/>
          <w:sz w:val="44"/>
          <w:szCs w:val="44"/>
        </w:rPr>
        <w:lastRenderedPageBreak/>
        <w:t>2023年年度报告</w:t>
      </w:r>
    </w:p>
    <w:p w:rsidR="00BA0365" w:rsidRDefault="008D4B2E">
      <w:pPr>
        <w:pStyle w:val="headingh1"/>
        <w:spacing w:before="340" w:after="330" w:line="773" w:lineRule="exact"/>
        <w:jc w:val="center"/>
        <w:rPr>
          <w:rFonts w:ascii="宋体" w:eastAsia="宋体" w:hAnsi="宋体" w:cs="宋体"/>
          <w:b/>
          <w:bCs/>
          <w:sz w:val="32"/>
          <w:szCs w:val="32"/>
        </w:rPr>
      </w:pPr>
      <w:bookmarkStart w:id="0" w:name="_Toc988889"/>
      <w:r>
        <w:rPr>
          <w:rFonts w:ascii="宋体" w:eastAsia="宋体" w:hAnsi="宋体" w:cs="宋体"/>
          <w:b/>
          <w:bCs/>
          <w:sz w:val="32"/>
          <w:szCs w:val="32"/>
        </w:rPr>
        <w:t>第一节 重要提示、目录和释义</w:t>
      </w:r>
      <w:bookmarkEnd w:id="0"/>
    </w:p>
    <w:p w:rsidR="00BA0365" w:rsidRDefault="008D4B2E">
      <w:pPr>
        <w:spacing w:before="40" w:after="40"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公司董事会、监事会及董事、监事、高级管理人员保证年度报告内容的真实、准确、完整，不存在虚假记载、误导性陈述或重大遗漏，并承担个别和连带的法律责任。</w:t>
      </w:r>
    </w:p>
    <w:p w:rsidR="00BA0365" w:rsidRDefault="008D4B2E">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公司负责人官</w:t>
      </w:r>
      <w:proofErr w:type="gramStart"/>
      <w:r>
        <w:rPr>
          <w:rFonts w:ascii="宋体" w:eastAsia="宋体" w:hAnsi="宋体" w:cs="宋体"/>
          <w:b/>
          <w:bCs/>
          <w:sz w:val="28"/>
          <w:szCs w:val="28"/>
        </w:rPr>
        <w:t>炳</w:t>
      </w:r>
      <w:proofErr w:type="gramEnd"/>
      <w:r>
        <w:rPr>
          <w:rFonts w:ascii="宋体" w:eastAsia="宋体" w:hAnsi="宋体" w:cs="宋体"/>
          <w:b/>
          <w:bCs/>
          <w:sz w:val="28"/>
          <w:szCs w:val="28"/>
        </w:rPr>
        <w:t>政、主管会计工作负责人张垚及会计机构负责人（会计主管人员）廖永健声明：保证本年度报告中财务报告的真实、准确、完整。</w:t>
      </w:r>
    </w:p>
    <w:p w:rsidR="00BA0365" w:rsidRDefault="008D4B2E">
      <w:pPr>
        <w:spacing w:line="560" w:lineRule="exact"/>
        <w:rPr>
          <w:rFonts w:ascii="宋体" w:eastAsia="宋体" w:hAnsi="宋体" w:cs="宋体"/>
          <w:b/>
          <w:bCs/>
          <w:sz w:val="28"/>
          <w:szCs w:val="28"/>
        </w:rPr>
      </w:pPr>
      <w:r>
        <w:rPr>
          <w:rFonts w:ascii="宋体" w:eastAsia="宋体" w:hAnsi="宋体" w:cs="宋体"/>
          <w:b/>
          <w:bCs/>
          <w:sz w:val="28"/>
          <w:szCs w:val="28"/>
        </w:rPr>
        <w:t>所有董事均</w:t>
      </w:r>
      <w:proofErr w:type="gramStart"/>
      <w:r>
        <w:rPr>
          <w:rFonts w:ascii="宋体" w:eastAsia="宋体" w:hAnsi="宋体" w:cs="宋体"/>
          <w:b/>
          <w:bCs/>
          <w:sz w:val="28"/>
          <w:szCs w:val="28"/>
        </w:rPr>
        <w:t>已出席</w:t>
      </w:r>
      <w:proofErr w:type="gramEnd"/>
      <w:r>
        <w:rPr>
          <w:rFonts w:ascii="宋体" w:eastAsia="宋体" w:hAnsi="宋体" w:cs="宋体"/>
          <w:b/>
          <w:bCs/>
          <w:sz w:val="28"/>
          <w:szCs w:val="28"/>
        </w:rPr>
        <w:t>了审议本报告的董事会会议。</w:t>
      </w:r>
    </w:p>
    <w:p w:rsidR="008D4B2E" w:rsidRDefault="008D4B2E">
      <w:pPr>
        <w:pStyle w:val="a3"/>
        <w:spacing w:beforeAutospacing="0" w:afterAutospacing="0" w:line="560" w:lineRule="atLeast"/>
        <w:ind w:firstLine="648"/>
        <w:divId w:val="1882932497"/>
        <w:rPr>
          <w:b/>
          <w:bCs/>
          <w:sz w:val="28"/>
          <w:szCs w:val="28"/>
        </w:rPr>
      </w:pPr>
      <w:r>
        <w:rPr>
          <w:rFonts w:hint="eastAsia"/>
          <w:b/>
          <w:bCs/>
          <w:sz w:val="28"/>
          <w:szCs w:val="28"/>
        </w:rPr>
        <w:t>公司2023年年度报告中所涉及的未来计划、发展战略等前瞻性陈述不构成公司对投资者的实质性承诺，敬请投资者及相关人士均应当对此保持足够的风险认识，并且应当理解计划、预测与承诺之间的差异，注意投资风险。</w:t>
      </w:r>
    </w:p>
    <w:p w:rsidR="008D4B2E" w:rsidRDefault="008D4B2E">
      <w:pPr>
        <w:pStyle w:val="a3"/>
        <w:spacing w:beforeAutospacing="0" w:afterAutospacing="0" w:line="560" w:lineRule="atLeast"/>
        <w:ind w:firstLine="648"/>
        <w:divId w:val="1250851676"/>
        <w:rPr>
          <w:b/>
          <w:bCs/>
          <w:sz w:val="28"/>
          <w:szCs w:val="28"/>
        </w:rPr>
      </w:pPr>
      <w:r>
        <w:rPr>
          <w:rFonts w:hint="eastAsia"/>
          <w:b/>
          <w:bCs/>
          <w:sz w:val="28"/>
          <w:szCs w:val="28"/>
        </w:rPr>
        <w:t>公司可能存在的风险因素请查阅本报告“第三节管理层讨论与分析”中“十一、公司未来发展的展望”相关内容。</w:t>
      </w:r>
    </w:p>
    <w:p w:rsidR="00BA0365" w:rsidRDefault="008D4B2E">
      <w:pPr>
        <w:spacing w:line="560" w:lineRule="exact"/>
        <w:ind w:firstLineChars="200" w:firstLine="562"/>
        <w:rPr>
          <w:rFonts w:ascii="宋体" w:eastAsia="宋体" w:hAnsi="宋体" w:cs="宋体"/>
          <w:b/>
          <w:bCs/>
          <w:sz w:val="28"/>
          <w:szCs w:val="28"/>
        </w:rPr>
      </w:pPr>
      <w:r>
        <w:rPr>
          <w:rFonts w:ascii="宋体" w:eastAsia="宋体" w:hAnsi="宋体" w:cs="宋体"/>
          <w:b/>
          <w:bCs/>
          <w:sz w:val="28"/>
          <w:szCs w:val="28"/>
        </w:rPr>
        <w:t>公司经本次董事会审议通过的利润分配预案为：以2023年12月31日的总股本1,012,096,504股为基数，向全体股东每10股派发现金红利1.00元（含税），送红股0股（含税），不以公积金转增股本。</w:t>
      </w:r>
    </w:p>
    <w:p w:rsidR="00BA0365" w:rsidRDefault="008D4B2E">
      <w:r>
        <w:br w:type="page"/>
      </w:r>
    </w:p>
    <w:p w:rsidR="00BA0365" w:rsidRDefault="008D4B2E">
      <w:pPr>
        <w:spacing w:line="720" w:lineRule="exact"/>
        <w:jc w:val="center"/>
        <w:rPr>
          <w:rFonts w:ascii="宋体" w:eastAsia="宋体" w:hAnsi="宋体" w:cs="宋体"/>
          <w:b/>
          <w:bCs/>
          <w:sz w:val="36"/>
          <w:szCs w:val="36"/>
        </w:rPr>
      </w:pPr>
      <w:r>
        <w:rPr>
          <w:rFonts w:ascii="宋体" w:eastAsia="宋体" w:hAnsi="宋体" w:cs="宋体"/>
          <w:b/>
          <w:bCs/>
          <w:sz w:val="36"/>
          <w:szCs w:val="36"/>
        </w:rPr>
        <w:lastRenderedPageBreak/>
        <w:t>目录</w:t>
      </w:r>
    </w:p>
    <w:p w:rsidR="00BA0365" w:rsidRDefault="008D4B2E">
      <w:pPr>
        <w:pStyle w:val="1"/>
        <w:tabs>
          <w:tab w:val="left" w:leader="dot" w:pos="9469"/>
        </w:tabs>
        <w:rPr>
          <w:noProof/>
        </w:rPr>
      </w:pPr>
      <w:r>
        <w:fldChar w:fldCharType="begin"/>
      </w:r>
      <w:r>
        <w:instrText xml:space="preserve"> </w:instrText>
      </w:r>
      <w:r>
        <w:rPr>
          <w:rFonts w:ascii="宋体" w:eastAsia="宋体" w:hAnsi="宋体" w:hint="eastAsia"/>
        </w:rPr>
        <w:instrText>TOC \o "1-2" \h \z \u</w:instrText>
      </w:r>
      <w:r>
        <w:instrText xml:space="preserve"> </w:instrText>
      </w:r>
      <w:r>
        <w:fldChar w:fldCharType="separate"/>
      </w:r>
      <w:hyperlink w:anchor="_Toc988889" w:history="1">
        <w:r>
          <w:rPr>
            <w:rFonts w:ascii="宋体" w:eastAsia="宋体" w:hAnsi="宋体" w:hint="eastAsia"/>
            <w:b/>
            <w:bCs/>
            <w:noProof/>
            <w:sz w:val="24"/>
          </w:rPr>
          <w:t>第一节 重要提示、目录和释义</w:t>
        </w:r>
        <w:r>
          <w:rPr>
            <w:noProof/>
            <w:webHidden/>
          </w:rPr>
          <w:tab/>
        </w:r>
        <w:r>
          <w:rPr>
            <w:noProof/>
            <w:webHidden/>
          </w:rPr>
          <w:fldChar w:fldCharType="begin"/>
        </w:r>
        <w:r>
          <w:rPr>
            <w:noProof/>
            <w:webHidden/>
          </w:rPr>
          <w:instrText xml:space="preserve"> PAGEREF _Toc988889 \h </w:instrText>
        </w:r>
        <w:r>
          <w:rPr>
            <w:noProof/>
            <w:webHidden/>
          </w:rPr>
        </w:r>
        <w:r>
          <w:rPr>
            <w:noProof/>
            <w:webHidden/>
          </w:rPr>
          <w:fldChar w:fldCharType="separate"/>
        </w:r>
        <w:r w:rsidR="00BB1593">
          <w:rPr>
            <w:noProof/>
            <w:webHidden/>
          </w:rPr>
          <w:t>2</w:t>
        </w:r>
        <w:r>
          <w:rPr>
            <w:noProof/>
            <w:webHidden/>
          </w:rPr>
          <w:fldChar w:fldCharType="end"/>
        </w:r>
      </w:hyperlink>
    </w:p>
    <w:p w:rsidR="00BA0365" w:rsidRDefault="0062781D">
      <w:pPr>
        <w:pStyle w:val="1"/>
        <w:tabs>
          <w:tab w:val="left" w:leader="dot" w:pos="9469"/>
        </w:tabs>
        <w:rPr>
          <w:noProof/>
        </w:rPr>
      </w:pPr>
      <w:hyperlink w:anchor="_Toc988890" w:history="1">
        <w:r w:rsidR="008D4B2E">
          <w:rPr>
            <w:rFonts w:ascii="宋体" w:eastAsia="宋体" w:hAnsi="宋体" w:hint="eastAsia"/>
            <w:b/>
            <w:bCs/>
            <w:noProof/>
            <w:sz w:val="24"/>
          </w:rPr>
          <w:t>第二节 公司简介和主要财务指标</w:t>
        </w:r>
        <w:r w:rsidR="008D4B2E">
          <w:rPr>
            <w:noProof/>
            <w:webHidden/>
          </w:rPr>
          <w:tab/>
        </w:r>
        <w:r w:rsidR="008D4B2E">
          <w:rPr>
            <w:noProof/>
            <w:webHidden/>
          </w:rPr>
          <w:fldChar w:fldCharType="begin"/>
        </w:r>
        <w:r w:rsidR="008D4B2E">
          <w:rPr>
            <w:noProof/>
            <w:webHidden/>
          </w:rPr>
          <w:instrText xml:space="preserve"> PAGEREF _Toc988890 \h </w:instrText>
        </w:r>
        <w:r w:rsidR="008D4B2E">
          <w:rPr>
            <w:noProof/>
            <w:webHidden/>
          </w:rPr>
        </w:r>
        <w:r w:rsidR="008D4B2E">
          <w:rPr>
            <w:noProof/>
            <w:webHidden/>
          </w:rPr>
          <w:fldChar w:fldCharType="separate"/>
        </w:r>
        <w:r w:rsidR="00BB1593">
          <w:rPr>
            <w:noProof/>
            <w:webHidden/>
          </w:rPr>
          <w:t>6</w:t>
        </w:r>
        <w:r w:rsidR="008D4B2E">
          <w:rPr>
            <w:noProof/>
            <w:webHidden/>
          </w:rPr>
          <w:fldChar w:fldCharType="end"/>
        </w:r>
      </w:hyperlink>
    </w:p>
    <w:p w:rsidR="00BA0365" w:rsidRDefault="0062781D">
      <w:pPr>
        <w:pStyle w:val="1"/>
        <w:tabs>
          <w:tab w:val="left" w:leader="dot" w:pos="9469"/>
        </w:tabs>
        <w:rPr>
          <w:noProof/>
        </w:rPr>
      </w:pPr>
      <w:hyperlink w:anchor="_Toc988902" w:history="1">
        <w:r w:rsidR="008D4B2E">
          <w:rPr>
            <w:rFonts w:ascii="宋体" w:eastAsia="宋体" w:hAnsi="宋体" w:hint="eastAsia"/>
            <w:b/>
            <w:bCs/>
            <w:noProof/>
            <w:sz w:val="24"/>
          </w:rPr>
          <w:t>第三节 管理层讨论与分析</w:t>
        </w:r>
        <w:r w:rsidR="008D4B2E">
          <w:rPr>
            <w:noProof/>
            <w:webHidden/>
          </w:rPr>
          <w:tab/>
        </w:r>
        <w:r w:rsidR="008D4B2E">
          <w:rPr>
            <w:noProof/>
            <w:webHidden/>
          </w:rPr>
          <w:fldChar w:fldCharType="begin"/>
        </w:r>
        <w:r w:rsidR="008D4B2E">
          <w:rPr>
            <w:noProof/>
            <w:webHidden/>
          </w:rPr>
          <w:instrText xml:space="preserve"> PAGEREF _Toc988902 \h </w:instrText>
        </w:r>
        <w:r w:rsidR="008D4B2E">
          <w:rPr>
            <w:noProof/>
            <w:webHidden/>
          </w:rPr>
        </w:r>
        <w:r w:rsidR="008D4B2E">
          <w:rPr>
            <w:noProof/>
            <w:webHidden/>
          </w:rPr>
          <w:fldChar w:fldCharType="separate"/>
        </w:r>
        <w:r w:rsidR="00BB1593">
          <w:rPr>
            <w:noProof/>
            <w:webHidden/>
          </w:rPr>
          <w:t>10</w:t>
        </w:r>
        <w:r w:rsidR="008D4B2E">
          <w:rPr>
            <w:noProof/>
            <w:webHidden/>
          </w:rPr>
          <w:fldChar w:fldCharType="end"/>
        </w:r>
      </w:hyperlink>
    </w:p>
    <w:p w:rsidR="00BA0365" w:rsidRDefault="0062781D">
      <w:pPr>
        <w:pStyle w:val="1"/>
        <w:tabs>
          <w:tab w:val="left" w:leader="dot" w:pos="9469"/>
        </w:tabs>
        <w:rPr>
          <w:noProof/>
        </w:rPr>
      </w:pPr>
      <w:hyperlink w:anchor="_Toc988944" w:history="1">
        <w:r w:rsidR="008D4B2E">
          <w:rPr>
            <w:rFonts w:ascii="宋体" w:eastAsia="宋体" w:hAnsi="宋体" w:hint="eastAsia"/>
            <w:b/>
            <w:bCs/>
            <w:noProof/>
            <w:sz w:val="24"/>
          </w:rPr>
          <w:t>第四节 公司治理</w:t>
        </w:r>
        <w:r w:rsidR="008D4B2E">
          <w:rPr>
            <w:noProof/>
            <w:webHidden/>
          </w:rPr>
          <w:tab/>
        </w:r>
        <w:r w:rsidR="008D4B2E">
          <w:rPr>
            <w:noProof/>
            <w:webHidden/>
          </w:rPr>
          <w:fldChar w:fldCharType="begin"/>
        </w:r>
        <w:r w:rsidR="008D4B2E">
          <w:rPr>
            <w:noProof/>
            <w:webHidden/>
          </w:rPr>
          <w:instrText xml:space="preserve"> PAGEREF _Toc988944 \h </w:instrText>
        </w:r>
        <w:r w:rsidR="008D4B2E">
          <w:rPr>
            <w:noProof/>
            <w:webHidden/>
          </w:rPr>
        </w:r>
        <w:r w:rsidR="008D4B2E">
          <w:rPr>
            <w:noProof/>
            <w:webHidden/>
          </w:rPr>
          <w:fldChar w:fldCharType="separate"/>
        </w:r>
        <w:r w:rsidR="00BB1593">
          <w:rPr>
            <w:noProof/>
            <w:webHidden/>
          </w:rPr>
          <w:t>27</w:t>
        </w:r>
        <w:r w:rsidR="008D4B2E">
          <w:rPr>
            <w:noProof/>
            <w:webHidden/>
          </w:rPr>
          <w:fldChar w:fldCharType="end"/>
        </w:r>
      </w:hyperlink>
    </w:p>
    <w:p w:rsidR="00BA0365" w:rsidRDefault="0062781D">
      <w:pPr>
        <w:pStyle w:val="1"/>
        <w:tabs>
          <w:tab w:val="left" w:leader="dot" w:pos="9469"/>
        </w:tabs>
        <w:rPr>
          <w:noProof/>
        </w:rPr>
      </w:pPr>
      <w:hyperlink w:anchor="_Toc988980" w:history="1">
        <w:r w:rsidR="008D4B2E">
          <w:rPr>
            <w:rFonts w:ascii="宋体" w:eastAsia="宋体" w:hAnsi="宋体" w:hint="eastAsia"/>
            <w:b/>
            <w:bCs/>
            <w:noProof/>
            <w:sz w:val="24"/>
          </w:rPr>
          <w:t>第五节 环境和社会责任</w:t>
        </w:r>
        <w:r w:rsidR="008D4B2E">
          <w:rPr>
            <w:noProof/>
            <w:webHidden/>
          </w:rPr>
          <w:tab/>
        </w:r>
        <w:r w:rsidR="008D4B2E">
          <w:rPr>
            <w:noProof/>
            <w:webHidden/>
          </w:rPr>
          <w:fldChar w:fldCharType="begin"/>
        </w:r>
        <w:r w:rsidR="008D4B2E">
          <w:rPr>
            <w:noProof/>
            <w:webHidden/>
          </w:rPr>
          <w:instrText xml:space="preserve"> PAGEREF _Toc988980 \h </w:instrText>
        </w:r>
        <w:r w:rsidR="008D4B2E">
          <w:rPr>
            <w:noProof/>
            <w:webHidden/>
          </w:rPr>
        </w:r>
        <w:r w:rsidR="008D4B2E">
          <w:rPr>
            <w:noProof/>
            <w:webHidden/>
          </w:rPr>
          <w:fldChar w:fldCharType="separate"/>
        </w:r>
        <w:r w:rsidR="00BB1593">
          <w:rPr>
            <w:noProof/>
            <w:webHidden/>
          </w:rPr>
          <w:t>43</w:t>
        </w:r>
        <w:r w:rsidR="008D4B2E">
          <w:rPr>
            <w:noProof/>
            <w:webHidden/>
          </w:rPr>
          <w:fldChar w:fldCharType="end"/>
        </w:r>
      </w:hyperlink>
    </w:p>
    <w:p w:rsidR="00BA0365" w:rsidRDefault="0062781D">
      <w:pPr>
        <w:pStyle w:val="1"/>
        <w:tabs>
          <w:tab w:val="left" w:leader="dot" w:pos="9469"/>
        </w:tabs>
        <w:rPr>
          <w:noProof/>
        </w:rPr>
      </w:pPr>
      <w:hyperlink w:anchor="_Toc988984" w:history="1">
        <w:r w:rsidR="008D4B2E">
          <w:rPr>
            <w:rFonts w:ascii="宋体" w:eastAsia="宋体" w:hAnsi="宋体" w:hint="eastAsia"/>
            <w:b/>
            <w:bCs/>
            <w:noProof/>
            <w:sz w:val="24"/>
          </w:rPr>
          <w:t>第六节 重要事项</w:t>
        </w:r>
        <w:r w:rsidR="008D4B2E">
          <w:rPr>
            <w:noProof/>
            <w:webHidden/>
          </w:rPr>
          <w:tab/>
        </w:r>
        <w:r w:rsidR="008D4B2E">
          <w:rPr>
            <w:noProof/>
            <w:webHidden/>
          </w:rPr>
          <w:fldChar w:fldCharType="begin"/>
        </w:r>
        <w:r w:rsidR="008D4B2E">
          <w:rPr>
            <w:noProof/>
            <w:webHidden/>
          </w:rPr>
          <w:instrText xml:space="preserve"> PAGEREF _Toc988984 \h </w:instrText>
        </w:r>
        <w:r w:rsidR="008D4B2E">
          <w:rPr>
            <w:noProof/>
            <w:webHidden/>
          </w:rPr>
        </w:r>
        <w:r w:rsidR="008D4B2E">
          <w:rPr>
            <w:noProof/>
            <w:webHidden/>
          </w:rPr>
          <w:fldChar w:fldCharType="separate"/>
        </w:r>
        <w:r w:rsidR="00BB1593">
          <w:rPr>
            <w:noProof/>
            <w:webHidden/>
          </w:rPr>
          <w:t>48</w:t>
        </w:r>
        <w:r w:rsidR="008D4B2E">
          <w:rPr>
            <w:noProof/>
            <w:webHidden/>
          </w:rPr>
          <w:fldChar w:fldCharType="end"/>
        </w:r>
      </w:hyperlink>
    </w:p>
    <w:p w:rsidR="00BA0365" w:rsidRDefault="0062781D">
      <w:pPr>
        <w:pStyle w:val="1"/>
        <w:tabs>
          <w:tab w:val="left" w:leader="dot" w:pos="9469"/>
        </w:tabs>
        <w:rPr>
          <w:noProof/>
        </w:rPr>
      </w:pPr>
      <w:hyperlink w:anchor="_Toc989020" w:history="1">
        <w:r w:rsidR="008D4B2E">
          <w:rPr>
            <w:rFonts w:ascii="宋体" w:eastAsia="宋体" w:hAnsi="宋体" w:hint="eastAsia"/>
            <w:b/>
            <w:bCs/>
            <w:noProof/>
            <w:sz w:val="24"/>
          </w:rPr>
          <w:t>第七节 股份变动及股东情况</w:t>
        </w:r>
        <w:r w:rsidR="008D4B2E">
          <w:rPr>
            <w:noProof/>
            <w:webHidden/>
          </w:rPr>
          <w:tab/>
        </w:r>
        <w:r w:rsidR="008D4B2E">
          <w:rPr>
            <w:noProof/>
            <w:webHidden/>
          </w:rPr>
          <w:fldChar w:fldCharType="begin"/>
        </w:r>
        <w:r w:rsidR="008D4B2E">
          <w:rPr>
            <w:noProof/>
            <w:webHidden/>
          </w:rPr>
          <w:instrText xml:space="preserve"> PAGEREF _Toc989020 \h </w:instrText>
        </w:r>
        <w:r w:rsidR="008D4B2E">
          <w:rPr>
            <w:noProof/>
            <w:webHidden/>
          </w:rPr>
        </w:r>
        <w:r w:rsidR="008D4B2E">
          <w:rPr>
            <w:noProof/>
            <w:webHidden/>
          </w:rPr>
          <w:fldChar w:fldCharType="separate"/>
        </w:r>
        <w:r w:rsidR="00BB1593">
          <w:rPr>
            <w:noProof/>
            <w:webHidden/>
          </w:rPr>
          <w:t>62</w:t>
        </w:r>
        <w:r w:rsidR="008D4B2E">
          <w:rPr>
            <w:noProof/>
            <w:webHidden/>
          </w:rPr>
          <w:fldChar w:fldCharType="end"/>
        </w:r>
      </w:hyperlink>
    </w:p>
    <w:p w:rsidR="00BA0365" w:rsidRDefault="0062781D">
      <w:pPr>
        <w:pStyle w:val="1"/>
        <w:tabs>
          <w:tab w:val="left" w:leader="dot" w:pos="9469"/>
        </w:tabs>
        <w:rPr>
          <w:noProof/>
        </w:rPr>
      </w:pPr>
      <w:hyperlink w:anchor="_Toc989036" w:history="1">
        <w:r w:rsidR="008D4B2E">
          <w:rPr>
            <w:rFonts w:ascii="宋体" w:eastAsia="宋体" w:hAnsi="宋体" w:hint="eastAsia"/>
            <w:b/>
            <w:bCs/>
            <w:noProof/>
            <w:sz w:val="24"/>
          </w:rPr>
          <w:t>第八节 优先股相关情况</w:t>
        </w:r>
        <w:r w:rsidR="008D4B2E">
          <w:rPr>
            <w:noProof/>
            <w:webHidden/>
          </w:rPr>
          <w:tab/>
        </w:r>
        <w:r w:rsidR="008D4B2E">
          <w:rPr>
            <w:noProof/>
            <w:webHidden/>
          </w:rPr>
          <w:fldChar w:fldCharType="begin"/>
        </w:r>
        <w:r w:rsidR="008D4B2E">
          <w:rPr>
            <w:noProof/>
            <w:webHidden/>
          </w:rPr>
          <w:instrText xml:space="preserve"> PAGEREF _Toc989036 \h </w:instrText>
        </w:r>
        <w:r w:rsidR="008D4B2E">
          <w:rPr>
            <w:noProof/>
            <w:webHidden/>
          </w:rPr>
        </w:r>
        <w:r w:rsidR="008D4B2E">
          <w:rPr>
            <w:noProof/>
            <w:webHidden/>
          </w:rPr>
          <w:fldChar w:fldCharType="separate"/>
        </w:r>
        <w:r w:rsidR="00BB1593">
          <w:rPr>
            <w:noProof/>
            <w:webHidden/>
          </w:rPr>
          <w:t>69</w:t>
        </w:r>
        <w:r w:rsidR="008D4B2E">
          <w:rPr>
            <w:noProof/>
            <w:webHidden/>
          </w:rPr>
          <w:fldChar w:fldCharType="end"/>
        </w:r>
      </w:hyperlink>
    </w:p>
    <w:p w:rsidR="00BA0365" w:rsidRDefault="0062781D">
      <w:pPr>
        <w:pStyle w:val="1"/>
        <w:tabs>
          <w:tab w:val="left" w:leader="dot" w:pos="9469"/>
        </w:tabs>
        <w:rPr>
          <w:noProof/>
        </w:rPr>
      </w:pPr>
      <w:hyperlink w:anchor="_Toc989037" w:history="1">
        <w:r w:rsidR="008D4B2E">
          <w:rPr>
            <w:rFonts w:ascii="宋体" w:eastAsia="宋体" w:hAnsi="宋体" w:hint="eastAsia"/>
            <w:b/>
            <w:bCs/>
            <w:noProof/>
            <w:sz w:val="24"/>
          </w:rPr>
          <w:t>第九节 债券相关情况</w:t>
        </w:r>
        <w:r w:rsidR="008D4B2E">
          <w:rPr>
            <w:noProof/>
            <w:webHidden/>
          </w:rPr>
          <w:tab/>
        </w:r>
        <w:r w:rsidR="008D4B2E">
          <w:rPr>
            <w:noProof/>
            <w:webHidden/>
          </w:rPr>
          <w:fldChar w:fldCharType="begin"/>
        </w:r>
        <w:r w:rsidR="008D4B2E">
          <w:rPr>
            <w:noProof/>
            <w:webHidden/>
          </w:rPr>
          <w:instrText xml:space="preserve"> PAGEREF _Toc989037 \h </w:instrText>
        </w:r>
        <w:r w:rsidR="008D4B2E">
          <w:rPr>
            <w:noProof/>
            <w:webHidden/>
          </w:rPr>
        </w:r>
        <w:r w:rsidR="008D4B2E">
          <w:rPr>
            <w:noProof/>
            <w:webHidden/>
          </w:rPr>
          <w:fldChar w:fldCharType="separate"/>
        </w:r>
        <w:r w:rsidR="00BB1593">
          <w:rPr>
            <w:noProof/>
            <w:webHidden/>
          </w:rPr>
          <w:t>70</w:t>
        </w:r>
        <w:r w:rsidR="008D4B2E">
          <w:rPr>
            <w:noProof/>
            <w:webHidden/>
          </w:rPr>
          <w:fldChar w:fldCharType="end"/>
        </w:r>
      </w:hyperlink>
    </w:p>
    <w:p w:rsidR="00BA0365" w:rsidRDefault="0062781D">
      <w:pPr>
        <w:pStyle w:val="1"/>
        <w:tabs>
          <w:tab w:val="left" w:leader="dot" w:pos="9469"/>
        </w:tabs>
        <w:rPr>
          <w:noProof/>
        </w:rPr>
      </w:pPr>
      <w:hyperlink w:anchor="_Toc989038" w:history="1">
        <w:r w:rsidR="008D4B2E">
          <w:rPr>
            <w:rFonts w:ascii="宋体" w:eastAsia="宋体" w:hAnsi="宋体" w:hint="eastAsia"/>
            <w:b/>
            <w:bCs/>
            <w:noProof/>
            <w:sz w:val="24"/>
          </w:rPr>
          <w:t>第十节 财务报告</w:t>
        </w:r>
        <w:r w:rsidR="008D4B2E">
          <w:rPr>
            <w:noProof/>
            <w:webHidden/>
          </w:rPr>
          <w:tab/>
        </w:r>
        <w:r w:rsidR="008D4B2E">
          <w:rPr>
            <w:noProof/>
            <w:webHidden/>
          </w:rPr>
          <w:fldChar w:fldCharType="begin"/>
        </w:r>
        <w:r w:rsidR="008D4B2E">
          <w:rPr>
            <w:noProof/>
            <w:webHidden/>
          </w:rPr>
          <w:instrText xml:space="preserve"> PAGEREF _Toc989038 \h </w:instrText>
        </w:r>
        <w:r w:rsidR="008D4B2E">
          <w:rPr>
            <w:noProof/>
            <w:webHidden/>
          </w:rPr>
        </w:r>
        <w:r w:rsidR="008D4B2E">
          <w:rPr>
            <w:noProof/>
            <w:webHidden/>
          </w:rPr>
          <w:fldChar w:fldCharType="separate"/>
        </w:r>
        <w:r w:rsidR="00BB1593">
          <w:rPr>
            <w:noProof/>
            <w:webHidden/>
          </w:rPr>
          <w:t>71</w:t>
        </w:r>
        <w:r w:rsidR="008D4B2E">
          <w:rPr>
            <w:noProof/>
            <w:webHidden/>
          </w:rPr>
          <w:fldChar w:fldCharType="end"/>
        </w:r>
      </w:hyperlink>
      <w:r w:rsidR="008D4B2E">
        <w:fldChar w:fldCharType="end"/>
      </w:r>
    </w:p>
    <w:p w:rsidR="00BA0365" w:rsidRDefault="008D4B2E">
      <w:r>
        <w:br w:type="page"/>
      </w:r>
    </w:p>
    <w:p w:rsidR="00BA0365" w:rsidRDefault="008D4B2E">
      <w:pPr>
        <w:spacing w:line="640" w:lineRule="exact"/>
        <w:jc w:val="center"/>
        <w:rPr>
          <w:rFonts w:ascii="宋体" w:eastAsia="宋体" w:hAnsi="宋体" w:cs="宋体"/>
          <w:b/>
          <w:bCs/>
          <w:sz w:val="32"/>
          <w:szCs w:val="32"/>
        </w:rPr>
      </w:pPr>
      <w:r>
        <w:rPr>
          <w:rFonts w:ascii="宋体" w:eastAsia="宋体" w:hAnsi="宋体" w:cs="宋体"/>
          <w:b/>
          <w:bCs/>
          <w:sz w:val="32"/>
          <w:szCs w:val="32"/>
        </w:rPr>
        <w:lastRenderedPageBreak/>
        <w:t>备查文件目录</w:t>
      </w:r>
    </w:p>
    <w:p w:rsidR="008D4B2E" w:rsidRDefault="008D4B2E">
      <w:pPr>
        <w:pStyle w:val="a3"/>
        <w:spacing w:line="560" w:lineRule="atLeast"/>
        <w:ind w:firstLine="408"/>
        <w:divId w:val="829171578"/>
        <w:rPr>
          <w:sz w:val="18"/>
          <w:szCs w:val="18"/>
        </w:rPr>
      </w:pPr>
      <w:r>
        <w:rPr>
          <w:rFonts w:hint="eastAsia"/>
          <w:sz w:val="18"/>
          <w:szCs w:val="18"/>
        </w:rPr>
        <w:t>一、载有公司负责人、主管会计工作负责人、会计机构负责人签名并盖章的财务报表。</w:t>
      </w:r>
    </w:p>
    <w:p w:rsidR="008D4B2E" w:rsidRDefault="008D4B2E">
      <w:pPr>
        <w:pStyle w:val="a3"/>
        <w:spacing w:line="560" w:lineRule="atLeast"/>
        <w:ind w:firstLine="408"/>
        <w:divId w:val="829171578"/>
        <w:rPr>
          <w:sz w:val="18"/>
          <w:szCs w:val="18"/>
        </w:rPr>
      </w:pPr>
      <w:r>
        <w:rPr>
          <w:rFonts w:hint="eastAsia"/>
          <w:sz w:val="18"/>
          <w:szCs w:val="18"/>
        </w:rPr>
        <w:t>二、载有会计师事务所盖章、注册会计师签名并盖章的审计报告原件。</w:t>
      </w:r>
    </w:p>
    <w:p w:rsidR="008D4B2E" w:rsidRDefault="008D4B2E">
      <w:pPr>
        <w:pStyle w:val="a3"/>
        <w:spacing w:line="560" w:lineRule="atLeast"/>
        <w:ind w:firstLine="408"/>
        <w:divId w:val="829171578"/>
        <w:rPr>
          <w:sz w:val="18"/>
          <w:szCs w:val="18"/>
        </w:rPr>
      </w:pPr>
      <w:r>
        <w:rPr>
          <w:rFonts w:hint="eastAsia"/>
          <w:sz w:val="18"/>
          <w:szCs w:val="18"/>
        </w:rPr>
        <w:t>三、报告期内在中国证监会指定网站上公开披露过的所有公司文件的正本及公告的原稿。</w:t>
      </w:r>
    </w:p>
    <w:p w:rsidR="008D4B2E" w:rsidRDefault="008D4B2E">
      <w:pPr>
        <w:pStyle w:val="a3"/>
        <w:spacing w:line="560" w:lineRule="atLeast"/>
        <w:ind w:firstLine="408"/>
        <w:divId w:val="829171578"/>
        <w:rPr>
          <w:sz w:val="18"/>
          <w:szCs w:val="18"/>
        </w:rPr>
      </w:pPr>
      <w:r>
        <w:rPr>
          <w:rFonts w:hint="eastAsia"/>
          <w:sz w:val="18"/>
          <w:szCs w:val="18"/>
        </w:rPr>
        <w:t>四、载有董事长官</w:t>
      </w:r>
      <w:proofErr w:type="gramStart"/>
      <w:r>
        <w:rPr>
          <w:rFonts w:hint="eastAsia"/>
          <w:sz w:val="18"/>
          <w:szCs w:val="18"/>
        </w:rPr>
        <w:t>炳</w:t>
      </w:r>
      <w:proofErr w:type="gramEnd"/>
      <w:r>
        <w:rPr>
          <w:rFonts w:hint="eastAsia"/>
          <w:sz w:val="18"/>
          <w:szCs w:val="18"/>
        </w:rPr>
        <w:t>政先生签名的2023年年度报告文件原件。</w:t>
      </w:r>
    </w:p>
    <w:p w:rsidR="008D4B2E" w:rsidRDefault="008D4B2E">
      <w:pPr>
        <w:pStyle w:val="a3"/>
        <w:spacing w:line="560" w:lineRule="atLeast"/>
        <w:ind w:firstLine="408"/>
        <w:divId w:val="829171578"/>
        <w:rPr>
          <w:sz w:val="18"/>
          <w:szCs w:val="18"/>
        </w:rPr>
      </w:pPr>
      <w:r>
        <w:rPr>
          <w:rFonts w:hint="eastAsia"/>
          <w:sz w:val="18"/>
          <w:szCs w:val="18"/>
        </w:rPr>
        <w:t>五、以上备查文件的备置地点：公司证券部。</w:t>
      </w:r>
    </w:p>
    <w:p w:rsidR="00BA0365" w:rsidRDefault="008D4B2E">
      <w:r>
        <w:br w:type="page"/>
      </w:r>
    </w:p>
    <w:p w:rsidR="00BA0365" w:rsidRDefault="008D4B2E">
      <w:pPr>
        <w:spacing w:before="40" w:after="40" w:line="560" w:lineRule="exact"/>
        <w:jc w:val="center"/>
        <w:rPr>
          <w:rFonts w:ascii="宋体" w:eastAsia="宋体" w:hAnsi="宋体" w:cs="宋体"/>
          <w:b/>
          <w:bCs/>
          <w:sz w:val="32"/>
          <w:szCs w:val="32"/>
        </w:rPr>
      </w:pPr>
      <w:r>
        <w:rPr>
          <w:rFonts w:ascii="宋体" w:eastAsia="宋体" w:hAnsi="宋体" w:cs="宋体"/>
          <w:b/>
          <w:bCs/>
          <w:sz w:val="32"/>
          <w:szCs w:val="32"/>
        </w:rPr>
        <w:lastRenderedPageBreak/>
        <w:t>释义</w:t>
      </w:r>
    </w:p>
    <w:tbl>
      <w:tblPr>
        <w:tblW w:w="9639" w:type="dxa"/>
        <w:tblLayout w:type="fixed"/>
        <w:tblLook w:val="04A0" w:firstRow="1" w:lastRow="0" w:firstColumn="1" w:lastColumn="0" w:noHBand="0" w:noVBand="1"/>
      </w:tblPr>
      <w:tblGrid>
        <w:gridCol w:w="3213"/>
        <w:gridCol w:w="2140"/>
        <w:gridCol w:w="4286"/>
      </w:tblGrid>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释义项</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释义内容</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本公司/公司/母公司/</w:t>
            </w:r>
            <w:proofErr w:type="gramStart"/>
            <w:r>
              <w:rPr>
                <w:rFonts w:ascii="宋体" w:eastAsia="宋体" w:hAnsi="宋体" w:cs="宋体"/>
                <w:sz w:val="18"/>
                <w:szCs w:val="18"/>
              </w:rPr>
              <w:t>软控</w:t>
            </w:r>
            <w:proofErr w:type="gramEnd"/>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会计师事务所/注册会计师</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中兴华会计师事务所（特殊普通合伙）</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《公司法》</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《中华人民共和国公司法》</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《证券法》</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《中华人民共和国证券法》</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《公司章程》</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《软控股份有限公司章程》</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中国证监会</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中国证券监督管理委员会</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深交所</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RFID</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射频识别</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报告期</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2023年1月1日至2023年12月31日</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元/万元</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人民币元/万元</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软控机电</w:t>
            </w:r>
            <w:proofErr w:type="gramEnd"/>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r>
      <w:tr w:rsidR="00157EA0" w:rsidTr="00220C19">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214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w:t>
            </w:r>
          </w:p>
        </w:tc>
        <w:tc>
          <w:tcPr>
            <w:tcW w:w="428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r>
    </w:tbl>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 w:name="_Toc988890"/>
      <w:r>
        <w:rPr>
          <w:rFonts w:ascii="宋体" w:eastAsia="宋体" w:hAnsi="宋体" w:cs="宋体"/>
          <w:b/>
          <w:bCs/>
          <w:sz w:val="32"/>
          <w:szCs w:val="32"/>
        </w:rPr>
        <w:lastRenderedPageBreak/>
        <w:t>第二节 公司简介和主要财务指标</w:t>
      </w:r>
      <w:bookmarkEnd w:id="1"/>
    </w:p>
    <w:p w:rsidR="00BA0365" w:rsidRDefault="008D4B2E">
      <w:pPr>
        <w:pStyle w:val="2"/>
        <w:spacing w:before="300" w:after="300" w:line="320" w:lineRule="exact"/>
        <w:rPr>
          <w:rFonts w:ascii="宋体" w:eastAsia="宋体" w:hAnsi="宋体" w:cs="宋体"/>
          <w:b/>
          <w:bCs/>
          <w:sz w:val="24"/>
          <w:szCs w:val="24"/>
        </w:rPr>
      </w:pPr>
      <w:bookmarkStart w:id="2" w:name="_Toc988891"/>
      <w:r>
        <w:rPr>
          <w:rFonts w:ascii="宋体" w:eastAsia="宋体" w:hAnsi="宋体" w:cs="宋体"/>
          <w:b/>
          <w:bCs/>
          <w:sz w:val="24"/>
          <w:szCs w:val="24"/>
        </w:rPr>
        <w:t>一、公司信息</w:t>
      </w:r>
      <w:bookmarkEnd w:id="2"/>
    </w:p>
    <w:tbl>
      <w:tblPr>
        <w:tblW w:w="9639" w:type="dxa"/>
        <w:tblLayout w:type="fixed"/>
        <w:tblLook w:val="04A0" w:firstRow="1" w:lastRow="0" w:firstColumn="1" w:lastColumn="0" w:noHBand="0" w:noVBand="1"/>
      </w:tblPr>
      <w:tblGrid>
        <w:gridCol w:w="2660"/>
        <w:gridCol w:w="2159"/>
        <w:gridCol w:w="2410"/>
        <w:gridCol w:w="2410"/>
      </w:tblGrid>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股票简称</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软控股份</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股票代码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002073</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股票上市证券交易所</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深圳证券交易所</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公司的中文名称</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公司的中文简称</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软控股份</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公司的外文名称（如有）</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MESNAC Co., Ltd.</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公司的外文名称缩写（如有）</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MESNAC</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公司的法定代表人</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注册地址</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山东省青岛市高新区新</w:t>
            </w:r>
            <w:proofErr w:type="gramStart"/>
            <w:r>
              <w:rPr>
                <w:rFonts w:ascii="宋体" w:eastAsia="宋体" w:hAnsi="宋体" w:cs="宋体"/>
                <w:sz w:val="18"/>
                <w:szCs w:val="18"/>
              </w:rPr>
              <w:t>业路31号远创国际蓝湾创意园</w:t>
            </w:r>
            <w:proofErr w:type="gramEnd"/>
            <w:r>
              <w:rPr>
                <w:rFonts w:ascii="宋体" w:eastAsia="宋体" w:hAnsi="宋体" w:cs="宋体"/>
                <w:sz w:val="18"/>
                <w:szCs w:val="18"/>
              </w:rPr>
              <w:t>B区1号楼202室</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注册地址的邮政编码</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266555</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公司注册地址历史变更情况</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公司注册地址于2017年7月12日由青岛市保税区纽约路2号变更为山东省青岛市高新区新</w:t>
            </w:r>
            <w:proofErr w:type="gramStart"/>
            <w:r>
              <w:rPr>
                <w:rFonts w:ascii="宋体" w:eastAsia="宋体" w:hAnsi="宋体" w:cs="宋体"/>
                <w:sz w:val="18"/>
                <w:szCs w:val="18"/>
              </w:rPr>
              <w:t>业路31号远创国际蓝湾创意园</w:t>
            </w:r>
            <w:proofErr w:type="gramEnd"/>
            <w:r>
              <w:rPr>
                <w:rFonts w:ascii="宋体" w:eastAsia="宋体" w:hAnsi="宋体" w:cs="宋体"/>
                <w:sz w:val="18"/>
                <w:szCs w:val="18"/>
              </w:rPr>
              <w:t>B区1号楼202室</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办公地址</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山东省青岛市郑州路43号</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办公地址的邮政编码</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266042</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公司网址</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www.mesnac.com</w:t>
            </w:r>
          </w:p>
        </w:tc>
      </w:tr>
      <w:tr w:rsidR="00157EA0" w:rsidTr="008D4B2E">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697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info@mesnac.com</w:t>
            </w:r>
          </w:p>
        </w:tc>
      </w:tr>
    </w:tbl>
    <w:p w:rsidR="00BA0365" w:rsidRDefault="008D4B2E">
      <w:pPr>
        <w:pStyle w:val="2"/>
        <w:spacing w:before="300" w:after="300" w:line="320" w:lineRule="exact"/>
        <w:rPr>
          <w:rFonts w:ascii="宋体" w:eastAsia="宋体" w:hAnsi="宋体" w:cs="宋体"/>
          <w:b/>
          <w:bCs/>
          <w:sz w:val="24"/>
          <w:szCs w:val="24"/>
        </w:rPr>
      </w:pPr>
      <w:bookmarkStart w:id="3" w:name="_Toc988892"/>
      <w:r>
        <w:rPr>
          <w:rFonts w:ascii="宋体" w:eastAsia="宋体" w:hAnsi="宋体" w:cs="宋体"/>
          <w:b/>
          <w:bCs/>
          <w:sz w:val="24"/>
          <w:szCs w:val="24"/>
        </w:rPr>
        <w:t>二、联系人和联系方式</w:t>
      </w:r>
      <w:bookmarkEnd w:id="3"/>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董事会秘书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证券事务代表</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姓名</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孙志慧</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联系地址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山东省青岛市郑州路43号</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山东省青岛市郑州路43号</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电话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0532-84012387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0532-84012387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传真</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0532-84011517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0532-84011517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电子信箱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info@mesnac.com</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sunzh@mesnac.com</w:t>
            </w:r>
          </w:p>
        </w:tc>
      </w:tr>
    </w:tbl>
    <w:p w:rsidR="00BA0365" w:rsidRDefault="008D4B2E">
      <w:pPr>
        <w:pStyle w:val="2"/>
        <w:spacing w:before="300" w:after="300" w:line="320" w:lineRule="exact"/>
        <w:rPr>
          <w:rFonts w:ascii="宋体" w:eastAsia="宋体" w:hAnsi="宋体" w:cs="宋体"/>
          <w:b/>
          <w:bCs/>
          <w:sz w:val="24"/>
          <w:szCs w:val="24"/>
        </w:rPr>
      </w:pPr>
      <w:bookmarkStart w:id="4" w:name="_Toc988893"/>
      <w:r>
        <w:rPr>
          <w:rFonts w:ascii="宋体" w:eastAsia="宋体" w:hAnsi="宋体" w:cs="宋体"/>
          <w:b/>
          <w:bCs/>
          <w:sz w:val="24"/>
          <w:szCs w:val="24"/>
        </w:rPr>
        <w:t>三、信息披露及备置地点</w:t>
      </w:r>
      <w:bookmarkEnd w:id="4"/>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公司披露年度报告的证券交易所网站</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深圳证券交易所（http://www.szse.cn）</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公司披露年度报告的媒体名称及网址</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《证券时报》《中国证券报》《上海证券报》《证券日报》及巨潮资讯网：（http://www.cninfo.com.cn）</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公司年度报告备置地点</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公司证券部</w:t>
            </w:r>
          </w:p>
        </w:tc>
      </w:tr>
    </w:tbl>
    <w:p w:rsidR="00BA0365" w:rsidRDefault="008D4B2E">
      <w:pPr>
        <w:pStyle w:val="2"/>
        <w:spacing w:before="300" w:after="300" w:line="320" w:lineRule="exact"/>
        <w:rPr>
          <w:rFonts w:ascii="宋体" w:eastAsia="宋体" w:hAnsi="宋体" w:cs="宋体"/>
          <w:b/>
          <w:bCs/>
          <w:sz w:val="24"/>
          <w:szCs w:val="24"/>
        </w:rPr>
      </w:pPr>
      <w:bookmarkStart w:id="5" w:name="_Toc988894"/>
      <w:r>
        <w:rPr>
          <w:rFonts w:ascii="宋体" w:eastAsia="宋体" w:hAnsi="宋体" w:cs="宋体"/>
          <w:b/>
          <w:bCs/>
          <w:sz w:val="24"/>
          <w:szCs w:val="24"/>
        </w:rPr>
        <w:t>四、注册变更情况</w:t>
      </w:r>
      <w:bookmarkEnd w:id="5"/>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统一社会信用代码</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913702007180555372</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公司上市以来主营业务的变化情况（如有）</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无变更</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历次控股股东的变更情况（如有）</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无变更</w:t>
            </w:r>
          </w:p>
        </w:tc>
      </w:tr>
    </w:tbl>
    <w:p w:rsidR="00BA0365" w:rsidRDefault="008D4B2E">
      <w:pPr>
        <w:pStyle w:val="2"/>
        <w:spacing w:before="300" w:after="300" w:line="320" w:lineRule="exact"/>
        <w:rPr>
          <w:rFonts w:ascii="宋体" w:eastAsia="宋体" w:hAnsi="宋体" w:cs="宋体"/>
          <w:b/>
          <w:bCs/>
          <w:sz w:val="24"/>
          <w:szCs w:val="24"/>
        </w:rPr>
      </w:pPr>
      <w:bookmarkStart w:id="6" w:name="_Toc988895"/>
      <w:r>
        <w:rPr>
          <w:rFonts w:ascii="宋体" w:eastAsia="宋体" w:hAnsi="宋体" w:cs="宋体"/>
          <w:b/>
          <w:bCs/>
          <w:sz w:val="24"/>
          <w:szCs w:val="24"/>
        </w:rPr>
        <w:lastRenderedPageBreak/>
        <w:t>五、其他有关资料</w:t>
      </w:r>
      <w:bookmarkEnd w:id="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公司聘请的会计师事务所</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中兴华会计师事务所（特殊普通合伙）</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会计师事务所办公地址</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青岛市市南区东海西路39号世纪大厦27层</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签字会计师姓名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丁兆栋、高宁</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公司聘请的报告期内履行持续督导职责的保荐机构</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1242"/>
        <w:gridCol w:w="2410"/>
        <w:gridCol w:w="1134"/>
        <w:gridCol w:w="4853"/>
      </w:tblGrid>
      <w:tr w:rsidR="00157EA0" w:rsidTr="008D4B2E">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保荐机构名称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保荐机构办公地址</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保荐代表人姓名</w:t>
            </w:r>
          </w:p>
        </w:tc>
        <w:tc>
          <w:tcPr>
            <w:tcW w:w="485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持续督导期间</w:t>
            </w:r>
          </w:p>
        </w:tc>
      </w:tr>
      <w:tr w:rsidR="00157EA0" w:rsidTr="008D4B2E">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国金证券股份有限公司</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上海市浦东新区芳</w:t>
            </w:r>
            <w:proofErr w:type="gramStart"/>
            <w:r>
              <w:rPr>
                <w:rFonts w:ascii="宋体" w:eastAsia="宋体" w:hAnsi="宋体" w:cs="宋体"/>
                <w:sz w:val="18"/>
                <w:szCs w:val="18"/>
              </w:rPr>
              <w:t>甸</w:t>
            </w:r>
            <w:proofErr w:type="gramEnd"/>
            <w:r>
              <w:rPr>
                <w:rFonts w:ascii="宋体" w:eastAsia="宋体" w:hAnsi="宋体" w:cs="宋体"/>
                <w:sz w:val="18"/>
                <w:szCs w:val="18"/>
              </w:rPr>
              <w:t>路1088号紫竹国际大厦23楼</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江岚、高俊</w:t>
            </w:r>
          </w:p>
        </w:tc>
        <w:tc>
          <w:tcPr>
            <w:tcW w:w="485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国金证券股份有限公司为软控股份2016 年度非公开发行股票的保荐机构，持续督导期截止至 2017 年 12 月</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31 日，国金证券已于2018年5月出具了《关于软控股份有限公司非公开发行股票之保荐工作总结》。因2016年非公开发行股票募集的资金尚未使用完毕，保荐机构仍需对公司募集资金的使用和管理继续履行督导义务，持续督导义务将履行至公司募集资金使用完毕为止。</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公司聘请的报告期内履行持续督导职责的财务顾问</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7" w:name="_Toc988896"/>
      <w:r>
        <w:rPr>
          <w:rFonts w:ascii="宋体" w:eastAsia="宋体" w:hAnsi="宋体" w:cs="宋体"/>
          <w:b/>
          <w:bCs/>
          <w:sz w:val="24"/>
          <w:szCs w:val="24"/>
        </w:rPr>
        <w:t>六、主要会计数据和财务指标</w:t>
      </w:r>
      <w:bookmarkEnd w:id="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公司是否需追溯调整或重述以前年度会计数据</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tbl>
      <w:tblPr>
        <w:tblW w:w="9639" w:type="dxa"/>
        <w:tblLayout w:type="fixed"/>
        <w:tblLook w:val="04A0" w:firstRow="1" w:lastRow="0" w:firstColumn="1" w:lastColumn="0" w:noHBand="0" w:noVBand="1"/>
      </w:tblPr>
      <w:tblGrid>
        <w:gridCol w:w="2235"/>
        <w:gridCol w:w="1842"/>
        <w:gridCol w:w="1843"/>
        <w:gridCol w:w="1843"/>
        <w:gridCol w:w="1876"/>
      </w:tblGrid>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本年比上年增减</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2021年</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营业收入（元）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-1.54%</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5,454,796,036.74</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333,149,674.13</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202,651,631.16</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64.40%</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142,257,023.71</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262,711,422.40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152,358,505.11</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72.43%</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84,611,269.69</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231,404,747.57</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382,734,652.91</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-39.54%</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252,585,944.10</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基本每股收益（元/股）</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0.3486</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0.2147</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62.37%</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0.1541</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稀释每股收益（元/股）</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0.3552</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0.217</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63.69%</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0.1564</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加权平均净资产收益率</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6.63%</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4.37%</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2.26%</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rsidP="008D4B2E">
            <w:pPr>
              <w:spacing w:line="240" w:lineRule="exact"/>
              <w:jc w:val="right"/>
              <w:rPr>
                <w:rFonts w:ascii="宋体" w:eastAsia="宋体" w:hAnsi="宋体" w:cs="宋体"/>
                <w:sz w:val="18"/>
                <w:szCs w:val="18"/>
              </w:rPr>
            </w:pPr>
            <w:r>
              <w:rPr>
                <w:rFonts w:ascii="宋体" w:eastAsia="宋体" w:hAnsi="宋体" w:cs="宋体"/>
                <w:sz w:val="18"/>
                <w:szCs w:val="18"/>
              </w:rPr>
              <w:t>3.28%</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2023年末</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2022年末</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本年末比上年末增减</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2021年末</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总资产（元）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15,961,879,130.52</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13,725,145,226.54</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16.30%</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10,867,289,080.28</w:t>
            </w:r>
          </w:p>
        </w:tc>
      </w:tr>
      <w:tr w:rsidR="00157EA0" w:rsidTr="00220C19">
        <w:trPr>
          <w:trHeight w:val="240"/>
        </w:trPr>
        <w:tc>
          <w:tcPr>
            <w:tcW w:w="22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归属于上市公司股东的净资产（元）</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9.91%</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4,453,572,239.35</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公司最近三个会计年度扣除非经常性损益</w:t>
      </w:r>
      <w:proofErr w:type="gramStart"/>
      <w:r>
        <w:rPr>
          <w:rFonts w:ascii="宋体" w:eastAsia="宋体" w:hAnsi="宋体" w:cs="宋体"/>
          <w:sz w:val="18"/>
          <w:szCs w:val="18"/>
        </w:rPr>
        <w:t>前后净</w:t>
      </w:r>
      <w:proofErr w:type="gramEnd"/>
      <w:r>
        <w:rPr>
          <w:rFonts w:ascii="宋体" w:eastAsia="宋体" w:hAnsi="宋体" w:cs="宋体"/>
          <w:sz w:val="18"/>
          <w:szCs w:val="18"/>
        </w:rPr>
        <w:t>利润孰低者均为负值，且最近一年审计报告显示公司持续经营能力存在不确定性</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扣除非经常损益前后的净利润孰低者为负值</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2"/>
        <w:spacing w:before="300" w:after="300" w:line="320" w:lineRule="exact"/>
        <w:rPr>
          <w:rFonts w:ascii="宋体" w:eastAsia="宋体" w:hAnsi="宋体" w:cs="宋体"/>
          <w:b/>
          <w:bCs/>
          <w:sz w:val="24"/>
          <w:szCs w:val="24"/>
        </w:rPr>
      </w:pPr>
      <w:bookmarkStart w:id="8" w:name="_Toc988897"/>
      <w:r>
        <w:rPr>
          <w:rFonts w:ascii="宋体" w:eastAsia="宋体" w:hAnsi="宋体" w:cs="宋体"/>
          <w:b/>
          <w:bCs/>
          <w:sz w:val="24"/>
          <w:szCs w:val="24"/>
        </w:rPr>
        <w:lastRenderedPageBreak/>
        <w:t>七、境内外会计准则下会计数据差异</w:t>
      </w:r>
      <w:bookmarkEnd w:id="8"/>
    </w:p>
    <w:p w:rsidR="00BA0365" w:rsidRDefault="008D4B2E">
      <w:pPr>
        <w:pStyle w:val="3"/>
        <w:spacing w:line="280" w:lineRule="exact"/>
        <w:jc w:val="left"/>
        <w:rPr>
          <w:rFonts w:ascii="宋体" w:hAnsi="宋体" w:cs="宋体"/>
          <w:b/>
          <w:bCs/>
        </w:rPr>
      </w:pPr>
      <w:bookmarkStart w:id="9" w:name="_Toc988898"/>
      <w:r>
        <w:rPr>
          <w:rFonts w:ascii="宋体" w:hAnsi="宋体" w:cs="宋体"/>
          <w:b/>
          <w:bCs/>
        </w:rPr>
        <w:t>1、同时按照国际会计准则与按照中国会计准则披露的财务</w:t>
      </w:r>
      <w:proofErr w:type="gramStart"/>
      <w:r>
        <w:rPr>
          <w:rFonts w:ascii="宋体" w:hAnsi="宋体" w:cs="宋体"/>
          <w:b/>
          <w:bCs/>
        </w:rPr>
        <w:t>报告中净利润</w:t>
      </w:r>
      <w:proofErr w:type="gramEnd"/>
      <w:r>
        <w:rPr>
          <w:rFonts w:ascii="宋体" w:hAnsi="宋体" w:cs="宋体"/>
          <w:b/>
          <w:bCs/>
        </w:rPr>
        <w:t>和净资产差异情况</w:t>
      </w:r>
      <w:bookmarkEnd w:id="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公司报告期不存在按照国际会计准则与按照中国会计准则披露的财务</w:t>
      </w:r>
      <w:proofErr w:type="gramStart"/>
      <w:r>
        <w:rPr>
          <w:rFonts w:ascii="宋体" w:eastAsia="宋体" w:hAnsi="宋体" w:cs="宋体"/>
          <w:sz w:val="18"/>
          <w:szCs w:val="18"/>
        </w:rPr>
        <w:t>报告中净利润</w:t>
      </w:r>
      <w:proofErr w:type="gramEnd"/>
      <w:r>
        <w:rPr>
          <w:rFonts w:ascii="宋体" w:eastAsia="宋体" w:hAnsi="宋体" w:cs="宋体"/>
          <w:sz w:val="18"/>
          <w:szCs w:val="18"/>
        </w:rPr>
        <w:t>和净资产差异情况。</w:t>
      </w:r>
    </w:p>
    <w:p w:rsidR="00BA0365" w:rsidRDefault="008D4B2E">
      <w:pPr>
        <w:pStyle w:val="3"/>
        <w:spacing w:line="280" w:lineRule="exact"/>
        <w:jc w:val="left"/>
        <w:rPr>
          <w:rFonts w:ascii="宋体" w:hAnsi="宋体" w:cs="宋体"/>
          <w:b/>
          <w:bCs/>
        </w:rPr>
      </w:pPr>
      <w:bookmarkStart w:id="10" w:name="_Toc988899"/>
      <w:r>
        <w:rPr>
          <w:rFonts w:ascii="宋体" w:hAnsi="宋体" w:cs="宋体"/>
          <w:b/>
          <w:bCs/>
        </w:rPr>
        <w:t>2、同时按照境外会计准则与按照中国会计准则披露的财务</w:t>
      </w:r>
      <w:proofErr w:type="gramStart"/>
      <w:r>
        <w:rPr>
          <w:rFonts w:ascii="宋体" w:hAnsi="宋体" w:cs="宋体"/>
          <w:b/>
          <w:bCs/>
        </w:rPr>
        <w:t>报告中净利润</w:t>
      </w:r>
      <w:proofErr w:type="gramEnd"/>
      <w:r>
        <w:rPr>
          <w:rFonts w:ascii="宋体" w:hAnsi="宋体" w:cs="宋体"/>
          <w:b/>
          <w:bCs/>
        </w:rPr>
        <w:t>和净资产差异情况</w:t>
      </w:r>
      <w:bookmarkEnd w:id="1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公司报告期不存在按照境外会计准则与按照中国会计准则披露的财务</w:t>
      </w:r>
      <w:proofErr w:type="gramStart"/>
      <w:r>
        <w:rPr>
          <w:rFonts w:ascii="宋体" w:eastAsia="宋体" w:hAnsi="宋体" w:cs="宋体"/>
          <w:sz w:val="18"/>
          <w:szCs w:val="18"/>
        </w:rPr>
        <w:t>报告中净利润</w:t>
      </w:r>
      <w:proofErr w:type="gramEnd"/>
      <w:r>
        <w:rPr>
          <w:rFonts w:ascii="宋体" w:eastAsia="宋体" w:hAnsi="宋体" w:cs="宋体"/>
          <w:sz w:val="18"/>
          <w:szCs w:val="18"/>
        </w:rPr>
        <w:t>和净资产差异情况。</w:t>
      </w:r>
    </w:p>
    <w:p w:rsidR="00BA0365" w:rsidRDefault="008D4B2E">
      <w:pPr>
        <w:pStyle w:val="2"/>
        <w:spacing w:before="300" w:after="300" w:line="320" w:lineRule="exact"/>
        <w:rPr>
          <w:rFonts w:ascii="宋体" w:eastAsia="宋体" w:hAnsi="宋体" w:cs="宋体"/>
          <w:b/>
          <w:bCs/>
          <w:sz w:val="24"/>
          <w:szCs w:val="24"/>
        </w:rPr>
      </w:pPr>
      <w:bookmarkStart w:id="11" w:name="_Toc988900"/>
      <w:r>
        <w:rPr>
          <w:rFonts w:ascii="宋体" w:eastAsia="宋体" w:hAnsi="宋体" w:cs="宋体"/>
          <w:b/>
          <w:bCs/>
          <w:sz w:val="24"/>
          <w:szCs w:val="24"/>
        </w:rPr>
        <w:t>八、分季度主要财务指标</w:t>
      </w:r>
      <w:bookmarkEnd w:id="11"/>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660"/>
        <w:gridCol w:w="1843"/>
        <w:gridCol w:w="1701"/>
        <w:gridCol w:w="1701"/>
        <w:gridCol w:w="1734"/>
      </w:tblGrid>
      <w:tr w:rsidR="00157EA0" w:rsidTr="00220C19">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第一季度</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第二季度</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第三季度</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第四季度</w:t>
            </w:r>
          </w:p>
        </w:tc>
      </w:tr>
      <w:tr w:rsidR="00157EA0" w:rsidTr="00220C19">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1,194,346,860.71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1,246,364,904.75</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1,236,619,435.04</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1,970,263,965.49</w:t>
            </w:r>
          </w:p>
        </w:tc>
      </w:tr>
      <w:tr w:rsidR="00157EA0" w:rsidTr="00220C19">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归属于上市公司股东的净利润</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18,647,909.34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76,530,128.19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114,453,338.37</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123,518,298.23</w:t>
            </w:r>
          </w:p>
        </w:tc>
      </w:tr>
      <w:tr w:rsidR="00157EA0" w:rsidTr="00220C19">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归属于上市公司股东的扣除非经常性损益的净利润</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11,069,027.90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49,510,064.27</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107,233,811.49</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94,898,518.74</w:t>
            </w:r>
          </w:p>
        </w:tc>
      </w:tr>
      <w:tr w:rsidR="00157EA0" w:rsidTr="00220C19">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-3,232,443.69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216,589,035.89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31,012,167.85</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-12,964,012.48</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上述财务指标或其加总数是否与公司已披露季度报告、半年度报告相关财务指标存在重大差异</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2"/>
        <w:spacing w:before="300" w:after="300" w:line="320" w:lineRule="exact"/>
        <w:rPr>
          <w:rFonts w:ascii="宋体" w:eastAsia="宋体" w:hAnsi="宋体" w:cs="宋体"/>
          <w:b/>
          <w:bCs/>
          <w:sz w:val="24"/>
          <w:szCs w:val="24"/>
        </w:rPr>
      </w:pPr>
      <w:bookmarkStart w:id="12" w:name="_Toc988901"/>
      <w:r>
        <w:rPr>
          <w:rFonts w:ascii="宋体" w:eastAsia="宋体" w:hAnsi="宋体" w:cs="宋体"/>
          <w:b/>
          <w:bCs/>
          <w:sz w:val="24"/>
          <w:szCs w:val="24"/>
        </w:rPr>
        <w:t>九、非经常性损益项目及金额</w:t>
      </w:r>
      <w:bookmarkEnd w:id="12"/>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27"/>
        <w:gridCol w:w="1417"/>
        <w:gridCol w:w="1560"/>
        <w:gridCol w:w="1507"/>
        <w:gridCol w:w="1928"/>
      </w:tblGrid>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2023年金额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2022年金额</w:t>
            </w:r>
          </w:p>
        </w:tc>
        <w:tc>
          <w:tcPr>
            <w:tcW w:w="15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2021年金额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说明</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非流动性资产处置损益（包括已计提资产减值准备的冲销部分）</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1,439,983.31</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7,854,081.29</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-8,108,639.55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hint="eastAsia"/>
                <w:sz w:val="18"/>
                <w:szCs w:val="18"/>
              </w:rPr>
              <w:t>-</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32,553,445.69</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38,449,548.20</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33,280,114.99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hint="eastAsia"/>
                <w:sz w:val="18"/>
                <w:szCs w:val="18"/>
              </w:rPr>
              <w:t>-</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除同公司正常经营业务相关的有效套期保值业务外，非金融企业持有金融资产和金融负债产生的公允价值变动损益以及处置金融资产和金融负债产生的损益</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-9,712,107.65</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hint="eastAsia"/>
                <w:sz w:val="18"/>
                <w:szCs w:val="18"/>
              </w:rPr>
              <w:t>-</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hint="eastAsia"/>
                <w:sz w:val="18"/>
                <w:szCs w:val="18"/>
              </w:rPr>
              <w:t>-</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主要为本年度持有基金清算所致</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51,322,270.12</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36,411,282.16</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48,971,107.99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本期变动主要是由于理财收益增多所致</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单独进行减值测试的应收款项减值准备转回</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10,638,414.26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340,000.00</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4,287,192.51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本期变动主要是由于收回前期单项计提应收账款所致</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债务重组损益</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1,589,274.07</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-8,104,968.50</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-172,997.92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本期变动主要是由于与客户进行的债权债务重组行为较少所致</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除上述各项之外的其他营业外收入和支出</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-89,289.14</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-1,176,507.36</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-1,366,747.29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hint="eastAsia"/>
                <w:sz w:val="18"/>
                <w:szCs w:val="18"/>
              </w:rPr>
              <w:t>-</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减：所得税影响额</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13,706,420.35</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11,907,540.40</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11,521,426.69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hint="eastAsia"/>
                <w:sz w:val="18"/>
                <w:szCs w:val="18"/>
              </w:rPr>
              <w:t>-</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少数股东权益影响额（税后）</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3,597,318.58</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11,572,769.34</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7,722,850.02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hint="eastAsia"/>
                <w:sz w:val="18"/>
                <w:szCs w:val="18"/>
              </w:rPr>
              <w:t>-</w:t>
            </w:r>
          </w:p>
        </w:tc>
      </w:tr>
      <w:tr w:rsidR="00157EA0" w:rsidTr="00220C19">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70,438,251.73</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50,293,126.05</w:t>
            </w:r>
          </w:p>
        </w:tc>
        <w:tc>
          <w:tcPr>
            <w:tcW w:w="15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57,645,754.02</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shd w:val="clear" w:color="auto" w:fill="D3D3D3"/>
              </w:rPr>
            </w:pPr>
            <w:r>
              <w:rPr>
                <w:rFonts w:ascii="宋体" w:eastAsia="宋体" w:hAnsi="宋体" w:cs="宋体"/>
                <w:sz w:val="18"/>
                <w:szCs w:val="18"/>
                <w:shd w:val="clear" w:color="auto" w:fill="D3D3D3"/>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公司不存在其他符合非经常性损益定义的损益项目的具体情况。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将《公开发行证券的公司信息披露解释性公告第1号——非经常性损益》中列举的非经常性损益项目界定为经常性损益项目的情况说明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公司不存在将《公开发行证券的公司信息披露解释性公告第1号——非经常性损益》中列举的非经常性损益项目界定为经常性损益的项目的情形。</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3" w:name="_Toc988902"/>
      <w:r>
        <w:rPr>
          <w:rFonts w:ascii="宋体" w:eastAsia="宋体" w:hAnsi="宋体" w:cs="宋体"/>
          <w:b/>
          <w:bCs/>
          <w:sz w:val="32"/>
          <w:szCs w:val="32"/>
        </w:rPr>
        <w:lastRenderedPageBreak/>
        <w:t>第三节 管理</w:t>
      </w:r>
      <w:proofErr w:type="gramStart"/>
      <w:r>
        <w:rPr>
          <w:rFonts w:ascii="宋体" w:eastAsia="宋体" w:hAnsi="宋体" w:cs="宋体"/>
          <w:b/>
          <w:bCs/>
          <w:sz w:val="32"/>
          <w:szCs w:val="32"/>
        </w:rPr>
        <w:t>层讨论</w:t>
      </w:r>
      <w:proofErr w:type="gramEnd"/>
      <w:r>
        <w:rPr>
          <w:rFonts w:ascii="宋体" w:eastAsia="宋体" w:hAnsi="宋体" w:cs="宋体"/>
          <w:b/>
          <w:bCs/>
          <w:sz w:val="32"/>
          <w:szCs w:val="32"/>
        </w:rPr>
        <w:t>与分析</w:t>
      </w:r>
      <w:bookmarkEnd w:id="13"/>
    </w:p>
    <w:p w:rsidR="00BA0365" w:rsidRDefault="008D4B2E">
      <w:pPr>
        <w:pStyle w:val="2"/>
        <w:spacing w:before="300" w:after="300" w:line="320" w:lineRule="exact"/>
        <w:rPr>
          <w:rFonts w:ascii="宋体" w:eastAsia="宋体" w:hAnsi="宋体" w:cs="宋体"/>
          <w:b/>
          <w:bCs/>
          <w:sz w:val="24"/>
          <w:szCs w:val="24"/>
        </w:rPr>
      </w:pPr>
      <w:bookmarkStart w:id="14" w:name="_Toc988903"/>
      <w:r>
        <w:rPr>
          <w:rFonts w:ascii="宋体" w:eastAsia="宋体" w:hAnsi="宋体" w:cs="宋体"/>
          <w:b/>
          <w:bCs/>
          <w:sz w:val="24"/>
          <w:szCs w:val="24"/>
        </w:rPr>
        <w:t>一、报告期内公司所处行业情况</w:t>
      </w:r>
      <w:bookmarkEnd w:id="1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公司需遵守《深圳证券交易所上市公司自律监管指引第3号——行业信息披露》中化工行业的披露要求</w:t>
      </w:r>
    </w:p>
    <w:p w:rsidR="008D4B2E" w:rsidRDefault="008D4B2E">
      <w:pPr>
        <w:pStyle w:val="a3"/>
        <w:spacing w:before="0" w:beforeAutospacing="0" w:after="0" w:afterAutospacing="0"/>
        <w:ind w:firstLine="360"/>
        <w:divId w:val="2020813861"/>
      </w:pPr>
      <w:r>
        <w:rPr>
          <w:rFonts w:hint="eastAsia"/>
          <w:sz w:val="18"/>
          <w:szCs w:val="18"/>
        </w:rPr>
        <w:t>2023年，全球经济下行压力持续凸显，全球经济总体疲软，在全球产业链调整、俄乌冲突、巴以冲突等事件长期影响下，叠加紧缩货币政策、债务风险上升等周期性因素，主要大型经济体经济周期分化持续加剧；在复杂严峻的国际形势下，我国经济向潜在增速中枢回归，恢复回升态势更趋明显。随着国家一揽子稳增长、扩内需、促消费、提振民营经济等政策密集落地，橡胶工业经济回升向好基础进一步夯实，橡胶机械行业也抓住国家政策持续推出、经济企稳向好的机遇，呈现出稳中向好的态势。公司作为国内橡胶机械领域的龙头企业，报告期内继续稳扎稳打，国内市场签单完成率高，客户结构持续优化；海外市场签单创历史新高，与部分高端客户的合作取得突破性进展，国际团队继续完善。</w:t>
      </w:r>
    </w:p>
    <w:p w:rsidR="008D4B2E" w:rsidRDefault="008D4B2E">
      <w:pPr>
        <w:pStyle w:val="a3"/>
        <w:spacing w:before="0" w:beforeAutospacing="0" w:after="0" w:afterAutospacing="0"/>
        <w:ind w:firstLine="360"/>
        <w:divId w:val="2020813861"/>
      </w:pPr>
      <w:r>
        <w:rPr>
          <w:rFonts w:hint="eastAsia"/>
          <w:sz w:val="18"/>
          <w:szCs w:val="18"/>
        </w:rPr>
        <w:t>2023年，国内化工行业供需矛盾依然突出，尤其是上半年，国内外经济修复不及预期，化工行业下游需求不振，行业景气度震荡下行，但随着下半年国内出台了一系列经济刺激政策，下游需求弱复苏，且受国际环境的影响，部分化工产品价格上涨，行业景气度小幅回暖。报告期内，公司化工行业方面经营质量大幅改善，盘锦伊</w:t>
      </w:r>
      <w:proofErr w:type="gramStart"/>
      <w:r>
        <w:rPr>
          <w:rFonts w:hint="eastAsia"/>
          <w:sz w:val="18"/>
          <w:szCs w:val="18"/>
        </w:rPr>
        <w:t>科思项目</w:t>
      </w:r>
      <w:proofErr w:type="gramEnd"/>
      <w:r>
        <w:rPr>
          <w:rFonts w:hint="eastAsia"/>
          <w:sz w:val="18"/>
          <w:szCs w:val="18"/>
        </w:rPr>
        <w:t>建设顺利推进，新产品研发工作全面展开；益</w:t>
      </w:r>
      <w:proofErr w:type="gramStart"/>
      <w:r>
        <w:rPr>
          <w:rFonts w:hint="eastAsia"/>
          <w:sz w:val="18"/>
          <w:szCs w:val="18"/>
        </w:rPr>
        <w:t>凯</w:t>
      </w:r>
      <w:proofErr w:type="gramEnd"/>
      <w:r>
        <w:rPr>
          <w:rFonts w:hint="eastAsia"/>
          <w:sz w:val="18"/>
          <w:szCs w:val="18"/>
        </w:rPr>
        <w:t>新材料通过网络化的供应链系统搭建，不断优化计划、生产、仓储、物流等业务环节和标准化水平，产品能力不断提升。</w:t>
      </w:r>
    </w:p>
    <w:p w:rsidR="00BA0365" w:rsidRDefault="008D4B2E">
      <w:pPr>
        <w:pStyle w:val="2"/>
        <w:spacing w:before="300" w:after="300" w:line="320" w:lineRule="exact"/>
        <w:rPr>
          <w:rFonts w:ascii="宋体" w:eastAsia="宋体" w:hAnsi="宋体" w:cs="宋体"/>
          <w:b/>
          <w:bCs/>
          <w:sz w:val="24"/>
          <w:szCs w:val="24"/>
        </w:rPr>
      </w:pPr>
      <w:bookmarkStart w:id="15" w:name="_Toc988904"/>
      <w:r>
        <w:rPr>
          <w:rFonts w:ascii="宋体" w:eastAsia="宋体" w:hAnsi="宋体" w:cs="宋体"/>
          <w:b/>
          <w:bCs/>
          <w:sz w:val="24"/>
          <w:szCs w:val="24"/>
        </w:rPr>
        <w:t>二、报告期内公司从事的主要业务</w:t>
      </w:r>
      <w:bookmarkEnd w:id="1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公司需遵守《深圳证券交易所上市公司自律监管指引第3号——行业信息披露》中化工行业的披露要求</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主要原材料的采购模式</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1970"/>
        <w:gridCol w:w="1606"/>
        <w:gridCol w:w="1607"/>
        <w:gridCol w:w="1607"/>
        <w:gridCol w:w="1607"/>
      </w:tblGrid>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主要原材料</w:t>
            </w:r>
          </w:p>
        </w:tc>
        <w:tc>
          <w:tcPr>
            <w:tcW w:w="197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采购模式</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采购额占采购总额的比例</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结算方式是否发生重大变化</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上半年平均价格</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下半年平均价格</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裂解碳五</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43.02%</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5,012.00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5,261.00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三异丁基铝</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0.44%</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97,055.00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96,568.00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正己烷</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0.55%</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8,988.00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10,764.00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白炭黑</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0.22%</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5,418.00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5,387.00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乙腈</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0.06%</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9,992.00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40791A" w:rsidP="001542D9">
            <w:pPr>
              <w:spacing w:line="240" w:lineRule="exact"/>
              <w:jc w:val="right"/>
              <w:rPr>
                <w:rFonts w:ascii="宋体" w:eastAsia="宋体" w:hAnsi="宋体" w:cs="宋体"/>
                <w:sz w:val="18"/>
                <w:szCs w:val="18"/>
              </w:rPr>
            </w:pPr>
            <w:r>
              <w:rPr>
                <w:rFonts w:ascii="宋体" w:eastAsia="宋体" w:hAnsi="宋体" w:cs="宋体" w:hint="eastAsia"/>
                <w:sz w:val="18"/>
                <w:szCs w:val="18"/>
              </w:rPr>
              <w:t>-</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异戊胶</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长约、非</w:t>
            </w:r>
            <w:proofErr w:type="gramStart"/>
            <w:r>
              <w:rPr>
                <w:rFonts w:ascii="宋体" w:eastAsia="宋体" w:hAnsi="宋体" w:cs="宋体"/>
                <w:sz w:val="18"/>
                <w:szCs w:val="18"/>
              </w:rPr>
              <w:t>长约相结合</w:t>
            </w:r>
            <w:proofErr w:type="gramEnd"/>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4.01%</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10,370.00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10,690.00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天然胶</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长约、非</w:t>
            </w:r>
            <w:proofErr w:type="gramStart"/>
            <w:r>
              <w:rPr>
                <w:rFonts w:ascii="宋体" w:eastAsia="宋体" w:hAnsi="宋体" w:cs="宋体"/>
                <w:sz w:val="18"/>
                <w:szCs w:val="18"/>
              </w:rPr>
              <w:t>长约相结合</w:t>
            </w:r>
            <w:proofErr w:type="gramEnd"/>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3.58%</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12,920.00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12,920.00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炭黑</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年度合同</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3.25%</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13,010.00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13,120.00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proofErr w:type="gramStart"/>
            <w:r>
              <w:rPr>
                <w:rFonts w:ascii="宋体" w:eastAsia="宋体" w:hAnsi="宋体" w:cs="宋体"/>
                <w:sz w:val="18"/>
                <w:szCs w:val="18"/>
              </w:rPr>
              <w:t>烟混胶</w:t>
            </w:r>
            <w:proofErr w:type="gramEnd"/>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非长约</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2.88%</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11,410.00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11,540.00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丙烯</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长约、非</w:t>
            </w:r>
            <w:proofErr w:type="gramStart"/>
            <w:r>
              <w:rPr>
                <w:rFonts w:ascii="宋体" w:eastAsia="宋体" w:hAnsi="宋体" w:cs="宋体"/>
                <w:sz w:val="18"/>
                <w:szCs w:val="18"/>
              </w:rPr>
              <w:t>长约相结合</w:t>
            </w:r>
            <w:proofErr w:type="gramEnd"/>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2.80%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10,170.00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10,090.00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白炭黑</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1.96%</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4,350.00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4,510.00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乙烯</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非长约</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1.68%</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10,340.00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10,530.00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标胶</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非长约</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1.62%</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9,770.00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10,440.00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proofErr w:type="gramStart"/>
            <w:r>
              <w:rPr>
                <w:rFonts w:ascii="宋体" w:eastAsia="宋体" w:hAnsi="宋体" w:cs="宋体"/>
                <w:sz w:val="18"/>
                <w:szCs w:val="18"/>
              </w:rPr>
              <w:t>特标炭黑</w:t>
            </w:r>
            <w:proofErr w:type="gramEnd"/>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年度合同</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1.22%</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13,460.00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11,990.00</w:t>
            </w:r>
          </w:p>
        </w:tc>
      </w:tr>
      <w:tr w:rsidR="001542D9"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活性剂</w:t>
            </w:r>
          </w:p>
        </w:tc>
        <w:tc>
          <w:tcPr>
            <w:tcW w:w="1970"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询价购买</w:t>
            </w:r>
          </w:p>
        </w:tc>
        <w:tc>
          <w:tcPr>
            <w:tcW w:w="1606" w:type="dxa"/>
            <w:tcBorders>
              <w:top w:val="single" w:sz="2" w:space="0" w:color="auto"/>
              <w:left w:val="single" w:sz="2" w:space="0" w:color="auto"/>
              <w:bottom w:val="single" w:sz="2" w:space="0" w:color="auto"/>
              <w:right w:val="single" w:sz="2" w:space="0" w:color="auto"/>
            </w:tcBorders>
            <w:vAlign w:val="center"/>
          </w:tcPr>
          <w:p w:rsidR="001542D9" w:rsidRPr="001542D9" w:rsidRDefault="001542D9" w:rsidP="001542D9">
            <w:pPr>
              <w:spacing w:line="240" w:lineRule="exact"/>
              <w:jc w:val="right"/>
              <w:rPr>
                <w:rFonts w:ascii="宋体" w:eastAsia="宋体" w:hAnsi="宋体" w:cs="宋体"/>
                <w:sz w:val="18"/>
                <w:szCs w:val="18"/>
              </w:rPr>
            </w:pPr>
            <w:r w:rsidRPr="001542D9">
              <w:rPr>
                <w:rFonts w:ascii="宋体" w:eastAsia="宋体" w:hAnsi="宋体" w:cs="宋体" w:hint="eastAsia"/>
                <w:sz w:val="18"/>
                <w:szCs w:val="18"/>
              </w:rPr>
              <w:t>1.21%</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否</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16,580.00</w:t>
            </w:r>
          </w:p>
        </w:tc>
        <w:tc>
          <w:tcPr>
            <w:tcW w:w="160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16,250.00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原材料价格较上</w:t>
      </w:r>
      <w:proofErr w:type="gramStart"/>
      <w:r>
        <w:rPr>
          <w:rFonts w:ascii="宋体" w:eastAsia="宋体" w:hAnsi="宋体" w:cs="宋体"/>
          <w:sz w:val="18"/>
          <w:szCs w:val="18"/>
        </w:rPr>
        <w:t>一报告</w:t>
      </w:r>
      <w:proofErr w:type="gramEnd"/>
      <w:r>
        <w:rPr>
          <w:rFonts w:ascii="宋体" w:eastAsia="宋体" w:hAnsi="宋体" w:cs="宋体"/>
          <w:sz w:val="18"/>
          <w:szCs w:val="18"/>
        </w:rPr>
        <w:t>期发生重大变化的原因</w:t>
      </w:r>
    </w:p>
    <w:p w:rsidR="008D4B2E" w:rsidRDefault="008D4B2E">
      <w:pPr>
        <w:pStyle w:val="a3"/>
        <w:divId w:val="588271712"/>
        <w:rPr>
          <w:sz w:val="18"/>
          <w:szCs w:val="18"/>
        </w:rPr>
      </w:pPr>
      <w:r>
        <w:rPr>
          <w:rFonts w:hint="eastAsia"/>
          <w:color w:val="000000"/>
          <w:sz w:val="18"/>
          <w:szCs w:val="18"/>
        </w:rPr>
        <w:t>正己烷的上游原料短缺，受供求关系影响下半年价格上涨；乙腈有库存，下半年未采购。</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能源采购价格占生产总成本30%以上</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主要能源类型发生重大变化的原因</w:t>
      </w:r>
    </w:p>
    <w:p w:rsidR="008D4B2E" w:rsidRDefault="008D4B2E">
      <w:pPr>
        <w:pStyle w:val="a3"/>
        <w:divId w:val="243078745"/>
        <w:rPr>
          <w:sz w:val="18"/>
          <w:szCs w:val="18"/>
        </w:rPr>
      </w:pPr>
      <w:r>
        <w:rPr>
          <w:rFonts w:hint="eastAsia"/>
          <w:sz w:val="18"/>
          <w:szCs w:val="18"/>
        </w:rPr>
        <w:lastRenderedPageBreak/>
        <w:t>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主要产品生产技术情况</w:t>
      </w:r>
    </w:p>
    <w:tbl>
      <w:tblPr>
        <w:tblW w:w="9639" w:type="dxa"/>
        <w:tblLayout w:type="fixed"/>
        <w:tblLook w:val="04A0" w:firstRow="1" w:lastRow="0" w:firstColumn="1" w:lastColumn="0" w:noHBand="0" w:noVBand="1"/>
      </w:tblPr>
      <w:tblGrid>
        <w:gridCol w:w="1242"/>
        <w:gridCol w:w="1134"/>
        <w:gridCol w:w="1276"/>
        <w:gridCol w:w="992"/>
        <w:gridCol w:w="4995"/>
      </w:tblGrid>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主要产品</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生产技术所处的阶段</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核心技术人员情况</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专利技术</w:t>
            </w:r>
          </w:p>
        </w:tc>
        <w:tc>
          <w:tcPr>
            <w:tcW w:w="499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产品研发优势</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异戊橡胶</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val="restart"/>
            <w:tcBorders>
              <w:top w:val="single" w:sz="2" w:space="0" w:color="auto"/>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r>
              <w:rPr>
                <w:rFonts w:ascii="宋体" w:eastAsia="宋体" w:hAnsi="宋体" w:cs="宋体"/>
                <w:sz w:val="18"/>
                <w:szCs w:val="18"/>
              </w:rPr>
              <w:t>公司拥有一批较高研发水平的科技人才，并持续开展研发项目，以对产品的生产工艺和技术进行持续改进、响应客户需求。</w:t>
            </w:r>
          </w:p>
        </w:tc>
        <w:tc>
          <w:tcPr>
            <w:tcW w:w="992" w:type="dxa"/>
            <w:vMerge w:val="restart"/>
            <w:tcBorders>
              <w:top w:val="single" w:sz="2" w:space="0" w:color="auto"/>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r>
              <w:rPr>
                <w:rFonts w:ascii="宋体" w:eastAsia="宋体" w:hAnsi="宋体" w:cs="宋体"/>
                <w:sz w:val="18"/>
                <w:szCs w:val="18"/>
              </w:rPr>
              <w:t>公司已获得多项发明专利及实用新型专利。</w:t>
            </w: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公司设有研发专业的团队，不断攻克技术难关，针对客户需求柔性化定制生产。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异戊二烯</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992"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国内首套</w:t>
            </w:r>
            <w:proofErr w:type="gramStart"/>
            <w:r>
              <w:rPr>
                <w:rFonts w:ascii="宋体" w:eastAsia="宋体" w:hAnsi="宋体" w:cs="宋体"/>
                <w:sz w:val="18"/>
                <w:szCs w:val="18"/>
              </w:rPr>
              <w:t>乙腈法碳五</w:t>
            </w:r>
            <w:proofErr w:type="gramEnd"/>
            <w:r>
              <w:rPr>
                <w:rFonts w:ascii="宋体" w:eastAsia="宋体" w:hAnsi="宋体" w:cs="宋体"/>
                <w:sz w:val="18"/>
                <w:szCs w:val="18"/>
              </w:rPr>
              <w:t>分离装置，公司设有研发专业的团队，不断攻克技术难关，可针对客户需求柔性化定制生产。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间戊二烯</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992"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国内首套</w:t>
            </w:r>
            <w:proofErr w:type="gramStart"/>
            <w:r>
              <w:rPr>
                <w:rFonts w:ascii="宋体" w:eastAsia="宋体" w:hAnsi="宋体" w:cs="宋体"/>
                <w:sz w:val="18"/>
                <w:szCs w:val="18"/>
              </w:rPr>
              <w:t>乙腈法碳五</w:t>
            </w:r>
            <w:proofErr w:type="gramEnd"/>
            <w:r>
              <w:rPr>
                <w:rFonts w:ascii="宋体" w:eastAsia="宋体" w:hAnsi="宋体" w:cs="宋体"/>
                <w:sz w:val="18"/>
                <w:szCs w:val="18"/>
              </w:rPr>
              <w:t>分离装置，公司设有研发专业的团队，不断攻克技术难关，可针对客户需求柔性化定制生产。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双环戊二烯</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992"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国内首套</w:t>
            </w:r>
            <w:proofErr w:type="gramStart"/>
            <w:r>
              <w:rPr>
                <w:rFonts w:ascii="宋体" w:eastAsia="宋体" w:hAnsi="宋体" w:cs="宋体"/>
                <w:sz w:val="18"/>
                <w:szCs w:val="18"/>
              </w:rPr>
              <w:t>乙腈法碳五</w:t>
            </w:r>
            <w:proofErr w:type="gramEnd"/>
            <w:r>
              <w:rPr>
                <w:rFonts w:ascii="宋体" w:eastAsia="宋体" w:hAnsi="宋体" w:cs="宋体"/>
                <w:sz w:val="18"/>
                <w:szCs w:val="18"/>
              </w:rPr>
              <w:t>分离装置，公司设有研发专业的团队，不断攻克技术难关，可针对客户需求柔性化定制生产。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粗戊烯</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992"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国内首套</w:t>
            </w:r>
            <w:proofErr w:type="gramStart"/>
            <w:r>
              <w:rPr>
                <w:rFonts w:ascii="宋体" w:eastAsia="宋体" w:hAnsi="宋体" w:cs="宋体"/>
                <w:sz w:val="18"/>
                <w:szCs w:val="18"/>
              </w:rPr>
              <w:t>乙腈法碳五</w:t>
            </w:r>
            <w:proofErr w:type="gramEnd"/>
            <w:r>
              <w:rPr>
                <w:rFonts w:ascii="宋体" w:eastAsia="宋体" w:hAnsi="宋体" w:cs="宋体"/>
                <w:sz w:val="18"/>
                <w:szCs w:val="18"/>
              </w:rPr>
              <w:t>分离装置，公司设有研发专业的团队，不断攻克技术难关，可针对客户需求柔性化定制生产。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环戊烯</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规模生产</w:t>
            </w:r>
          </w:p>
        </w:tc>
        <w:tc>
          <w:tcPr>
            <w:tcW w:w="1276"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992" w:type="dxa"/>
            <w:vMerge/>
            <w:tcBorders>
              <w:left w:val="single" w:sz="2" w:space="0" w:color="auto"/>
              <w:right w:val="single" w:sz="2" w:space="0" w:color="auto"/>
            </w:tcBorders>
            <w:vAlign w:val="center"/>
          </w:tcPr>
          <w:p w:rsidR="00220C19" w:rsidRDefault="00220C19" w:rsidP="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国内首套</w:t>
            </w:r>
            <w:proofErr w:type="gramStart"/>
            <w:r>
              <w:rPr>
                <w:rFonts w:ascii="宋体" w:eastAsia="宋体" w:hAnsi="宋体" w:cs="宋体"/>
                <w:sz w:val="18"/>
                <w:szCs w:val="18"/>
              </w:rPr>
              <w:t>乙腈法碳五</w:t>
            </w:r>
            <w:proofErr w:type="gramEnd"/>
            <w:r>
              <w:rPr>
                <w:rFonts w:ascii="宋体" w:eastAsia="宋体" w:hAnsi="宋体" w:cs="宋体"/>
                <w:sz w:val="18"/>
                <w:szCs w:val="18"/>
              </w:rPr>
              <w:t>分离装置，公司设有研发专业的团队，不断攻克技术难关，可针对客户需求柔性化定制生产。</w:t>
            </w:r>
          </w:p>
        </w:tc>
      </w:tr>
      <w:tr w:rsidR="00157EA0" w:rsidTr="00220C19">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EVEC胶</w:t>
            </w:r>
          </w:p>
        </w:tc>
        <w:tc>
          <w:tcPr>
            <w:tcW w:w="1134"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正常生产</w:t>
            </w:r>
          </w:p>
        </w:tc>
        <w:tc>
          <w:tcPr>
            <w:tcW w:w="1276" w:type="dxa"/>
            <w:vMerge/>
            <w:tcBorders>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p>
        </w:tc>
        <w:tc>
          <w:tcPr>
            <w:tcW w:w="992" w:type="dxa"/>
            <w:vMerge/>
            <w:tcBorders>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p>
        </w:tc>
        <w:tc>
          <w:tcPr>
            <w:tcW w:w="4995" w:type="dxa"/>
            <w:tcBorders>
              <w:top w:val="single" w:sz="2" w:space="0" w:color="auto"/>
              <w:left w:val="single" w:sz="2" w:space="0" w:color="auto"/>
              <w:bottom w:val="single" w:sz="2" w:space="0" w:color="auto"/>
              <w:right w:val="single" w:sz="2" w:space="0" w:color="auto"/>
            </w:tcBorders>
            <w:vAlign w:val="center"/>
          </w:tcPr>
          <w:p w:rsidR="00220C19" w:rsidRDefault="00220C19">
            <w:pPr>
              <w:spacing w:line="240" w:lineRule="exact"/>
              <w:rPr>
                <w:rFonts w:ascii="宋体" w:eastAsia="宋体" w:hAnsi="宋体" w:cs="宋体"/>
                <w:sz w:val="18"/>
                <w:szCs w:val="18"/>
              </w:rPr>
            </w:pPr>
            <w:r>
              <w:rPr>
                <w:rFonts w:ascii="宋体" w:eastAsia="宋体" w:hAnsi="宋体" w:cs="宋体"/>
                <w:sz w:val="18"/>
                <w:szCs w:val="18"/>
              </w:rPr>
              <w:t>与传统材料相比，本新材料产品具有以下竞争优势：应用该类产品可以使轮胎达到滚动阻力、</w:t>
            </w:r>
            <w:proofErr w:type="gramStart"/>
            <w:r>
              <w:rPr>
                <w:rFonts w:ascii="宋体" w:eastAsia="宋体" w:hAnsi="宋体" w:cs="宋体"/>
                <w:sz w:val="18"/>
                <w:szCs w:val="18"/>
              </w:rPr>
              <w:t>干湿抓</w:t>
            </w:r>
            <w:proofErr w:type="gramEnd"/>
            <w:r>
              <w:rPr>
                <w:rFonts w:ascii="宋体" w:eastAsia="宋体" w:hAnsi="宋体" w:cs="宋体"/>
                <w:sz w:val="18"/>
                <w:szCs w:val="18"/>
              </w:rPr>
              <w:t>地、耐磨性能的均衡。具有更低的滚阻系数和高耐磨性能，比</w:t>
            </w:r>
            <w:proofErr w:type="gramStart"/>
            <w:r>
              <w:rPr>
                <w:rFonts w:ascii="宋体" w:eastAsia="宋体" w:hAnsi="宋体" w:cs="宋体"/>
                <w:sz w:val="18"/>
                <w:szCs w:val="18"/>
              </w:rPr>
              <w:t>现客户</w:t>
            </w:r>
            <w:proofErr w:type="gramEnd"/>
            <w:r>
              <w:rPr>
                <w:rFonts w:ascii="宋体" w:eastAsia="宋体" w:hAnsi="宋体" w:cs="宋体"/>
                <w:sz w:val="18"/>
                <w:szCs w:val="18"/>
              </w:rPr>
              <w:t>配方同车同区域路试耐磨性能提高10%以上。</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主要产品的产能情况</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主要产品</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设计产能</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产能利用率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在建产能</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投资建设情况</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碳五分离产品</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15万吨/年</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52.50%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异戊橡胶</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4万吨/年</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33.68%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EVEC胶</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一期10.8万吨</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1542D9">
            <w:pPr>
              <w:spacing w:line="240" w:lineRule="exact"/>
              <w:jc w:val="right"/>
              <w:rPr>
                <w:rFonts w:ascii="宋体" w:eastAsia="宋体" w:hAnsi="宋体" w:cs="宋体"/>
                <w:sz w:val="18"/>
                <w:szCs w:val="18"/>
              </w:rPr>
            </w:pPr>
            <w:r>
              <w:rPr>
                <w:rFonts w:ascii="宋体" w:eastAsia="宋体" w:hAnsi="宋体" w:cs="宋体"/>
                <w:sz w:val="18"/>
                <w:szCs w:val="18"/>
              </w:rPr>
              <w:t>71.23</w:t>
            </w:r>
            <w:r w:rsidR="008D4B2E">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主要化工园区的产品种类情况</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主要化工园区</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产品种类</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抚顺市高新技术开发区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异戊橡胶、异戊二烯等</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董家口产业园</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EVEC胶等</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盘锦辽东湾新区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异戊橡胶、异戊二烯等</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报告期内正在申请或者新增取得的环评批复情况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pPr>
        <w:pStyle w:val="a3"/>
        <w:divId w:val="1505054147"/>
        <w:rPr>
          <w:sz w:val="18"/>
          <w:szCs w:val="18"/>
        </w:rPr>
      </w:pPr>
      <w:r>
        <w:rPr>
          <w:rFonts w:hint="eastAsia"/>
          <w:color w:val="000000"/>
          <w:sz w:val="18"/>
          <w:szCs w:val="18"/>
        </w:rPr>
        <w:t>项目名称：抚顺伊科思新材料有限公司新建天然气备用锅炉项目已取得环评批复，环评批号：</w:t>
      </w:r>
      <w:proofErr w:type="gramStart"/>
      <w:r>
        <w:rPr>
          <w:rFonts w:hint="eastAsia"/>
          <w:color w:val="000000"/>
          <w:sz w:val="18"/>
          <w:szCs w:val="18"/>
        </w:rPr>
        <w:t>抚环东审</w:t>
      </w:r>
      <w:proofErr w:type="gramEnd"/>
      <w:r>
        <w:rPr>
          <w:rFonts w:hint="eastAsia"/>
          <w:color w:val="000000"/>
          <w:sz w:val="18"/>
          <w:szCs w:val="18"/>
        </w:rPr>
        <w:t>【2023】10号。</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报告期内上市公司出现非正常停产情形</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相关批复、许可、资质及有效期的情况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pPr>
        <w:pStyle w:val="a3"/>
        <w:spacing w:beforeAutospacing="0" w:afterAutospacing="0" w:line="240" w:lineRule="atLeast"/>
        <w:divId w:val="1530222589"/>
        <w:rPr>
          <w:rFonts w:ascii="Calibri" w:hAnsi="Calibri" w:cs="Calibri"/>
          <w:sz w:val="21"/>
          <w:szCs w:val="21"/>
        </w:rPr>
      </w:pPr>
      <w:r>
        <w:rPr>
          <w:rFonts w:cs="Calibri" w:hint="eastAsia"/>
          <w:color w:val="000000"/>
          <w:sz w:val="18"/>
          <w:szCs w:val="18"/>
        </w:rPr>
        <w:t>主要产品生产、销售已取得相关批复、许可、资质，按期年检。 公司无自己经营的运输车辆，故无此方面的许可。 </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从事石油加工、石油贸易行业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从事化肥行业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从事农药行业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从事氯碱、纯碱行业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2"/>
        <w:spacing w:before="300" w:after="300" w:line="320" w:lineRule="exact"/>
        <w:rPr>
          <w:rFonts w:ascii="宋体" w:eastAsia="宋体" w:hAnsi="宋体" w:cs="宋体"/>
          <w:b/>
          <w:bCs/>
          <w:sz w:val="24"/>
          <w:szCs w:val="24"/>
        </w:rPr>
      </w:pPr>
      <w:bookmarkStart w:id="16" w:name="_Toc988905"/>
      <w:r>
        <w:rPr>
          <w:rFonts w:ascii="宋体" w:eastAsia="宋体" w:hAnsi="宋体" w:cs="宋体"/>
          <w:b/>
          <w:bCs/>
          <w:sz w:val="24"/>
          <w:szCs w:val="24"/>
        </w:rPr>
        <w:t>三、核心竞争力分析</w:t>
      </w:r>
      <w:bookmarkEnd w:id="16"/>
    </w:p>
    <w:p w:rsidR="008D4B2E" w:rsidRDefault="008D4B2E">
      <w:pPr>
        <w:pStyle w:val="a3"/>
        <w:spacing w:before="40" w:beforeAutospacing="0" w:after="40" w:afterAutospacing="0"/>
        <w:ind w:firstLine="360"/>
        <w:divId w:val="445973356"/>
      </w:pPr>
      <w:r>
        <w:rPr>
          <w:rFonts w:ascii="Times New Roman" w:hAnsi="Times New Roman" w:cs="Times New Roman"/>
          <w:sz w:val="18"/>
          <w:szCs w:val="18"/>
        </w:rPr>
        <w:t>1</w:t>
      </w:r>
      <w:r>
        <w:rPr>
          <w:rFonts w:hint="eastAsia"/>
          <w:sz w:val="18"/>
          <w:szCs w:val="18"/>
        </w:rPr>
        <w:t>、研发创新优势</w:t>
      </w:r>
    </w:p>
    <w:p w:rsidR="008D4B2E" w:rsidRDefault="008D4B2E">
      <w:pPr>
        <w:pStyle w:val="a3"/>
        <w:spacing w:before="40" w:beforeAutospacing="0" w:after="40" w:afterAutospacing="0"/>
        <w:ind w:firstLine="360"/>
        <w:divId w:val="445973356"/>
      </w:pPr>
      <w:r>
        <w:rPr>
          <w:rFonts w:hint="eastAsia"/>
          <w:sz w:val="18"/>
          <w:szCs w:val="18"/>
          <w:shd w:val="clear" w:color="auto" w:fill="FFFFFF"/>
        </w:rPr>
        <w:t>公司搭建了以中国、美国、斯洛伐克为中心的全球研发体系，是国家创新型企业、国家技术创新示范企业、国家工业品牌示</w:t>
      </w:r>
      <w:proofErr w:type="gramStart"/>
      <w:r>
        <w:rPr>
          <w:rFonts w:hint="eastAsia"/>
          <w:sz w:val="18"/>
          <w:szCs w:val="18"/>
          <w:shd w:val="clear" w:color="auto" w:fill="FFFFFF"/>
        </w:rPr>
        <w:t>范</w:t>
      </w:r>
      <w:proofErr w:type="gramEnd"/>
      <w:r>
        <w:rPr>
          <w:rFonts w:hint="eastAsia"/>
          <w:sz w:val="18"/>
          <w:szCs w:val="18"/>
          <w:shd w:val="clear" w:color="auto" w:fill="FFFFFF"/>
        </w:rPr>
        <w:t>企业、中国十大创新软件企业、资源节约型环境友好型企业，承建国家橡胶与轮胎工程技术研究中心、轮胎先进装备与关键材料工程研究中心、山东省橡胶与轮胎技术创新中心，拥有数字化橡胶轮胎装备国际联合研究中心、国家认定企业技术中心、博士后科研工作站，入选国家智能制造系统解决方案供应商、国家工信部绿色工厂，“半钢子午线轮胎成型机”荣获国家制造业单项冠军产品，拥有专利</w:t>
      </w:r>
      <w:r>
        <w:rPr>
          <w:rFonts w:ascii="Calibri" w:hAnsi="Calibri" w:cs="Calibri"/>
          <w:sz w:val="18"/>
          <w:szCs w:val="18"/>
          <w:shd w:val="clear" w:color="auto" w:fill="FFFFFF"/>
        </w:rPr>
        <w:t>1900</w:t>
      </w:r>
      <w:r>
        <w:rPr>
          <w:rFonts w:hint="eastAsia"/>
          <w:sz w:val="18"/>
          <w:szCs w:val="18"/>
          <w:shd w:val="clear" w:color="auto" w:fill="FFFFFF"/>
        </w:rPr>
        <w:t>余项，获得国家科技进步奖</w:t>
      </w:r>
      <w:r>
        <w:rPr>
          <w:rFonts w:ascii="Calibri" w:hAnsi="Calibri" w:cs="Calibri"/>
          <w:sz w:val="18"/>
          <w:szCs w:val="18"/>
          <w:shd w:val="clear" w:color="auto" w:fill="FFFFFF"/>
        </w:rPr>
        <w:t>1</w:t>
      </w:r>
      <w:r>
        <w:rPr>
          <w:rFonts w:hint="eastAsia"/>
          <w:sz w:val="18"/>
          <w:szCs w:val="18"/>
          <w:shd w:val="clear" w:color="auto" w:fill="FFFFFF"/>
        </w:rPr>
        <w:t>项、省部级科技奖励</w:t>
      </w:r>
      <w:r>
        <w:rPr>
          <w:rFonts w:ascii="Calibri" w:hAnsi="Calibri" w:cs="Calibri"/>
          <w:sz w:val="18"/>
          <w:szCs w:val="18"/>
          <w:shd w:val="clear" w:color="auto" w:fill="FFFFFF"/>
        </w:rPr>
        <w:t>36</w:t>
      </w:r>
      <w:r>
        <w:rPr>
          <w:rFonts w:hint="eastAsia"/>
          <w:sz w:val="18"/>
          <w:szCs w:val="18"/>
          <w:shd w:val="clear" w:color="auto" w:fill="FFFFFF"/>
        </w:rPr>
        <w:t>项，起草国际标准</w:t>
      </w:r>
      <w:r>
        <w:rPr>
          <w:rFonts w:ascii="Calibri" w:hAnsi="Calibri" w:cs="Calibri"/>
          <w:sz w:val="18"/>
          <w:szCs w:val="18"/>
          <w:shd w:val="clear" w:color="auto" w:fill="FFFFFF"/>
        </w:rPr>
        <w:t>5</w:t>
      </w:r>
      <w:r>
        <w:rPr>
          <w:rFonts w:hint="eastAsia"/>
          <w:sz w:val="18"/>
          <w:szCs w:val="18"/>
          <w:shd w:val="clear" w:color="auto" w:fill="FFFFFF"/>
        </w:rPr>
        <w:t>项、国家及行业标准</w:t>
      </w:r>
      <w:r>
        <w:rPr>
          <w:rFonts w:ascii="Calibri" w:hAnsi="Calibri" w:cs="Calibri"/>
          <w:sz w:val="18"/>
          <w:szCs w:val="18"/>
          <w:shd w:val="clear" w:color="auto" w:fill="FFFFFF"/>
        </w:rPr>
        <w:t>87</w:t>
      </w:r>
      <w:r>
        <w:rPr>
          <w:rFonts w:hint="eastAsia"/>
          <w:sz w:val="18"/>
          <w:szCs w:val="18"/>
          <w:shd w:val="clear" w:color="auto" w:fill="FFFFFF"/>
        </w:rPr>
        <w:t>项，团体标准14项，承担国家各部委科技项目</w:t>
      </w:r>
      <w:r>
        <w:rPr>
          <w:rFonts w:ascii="Calibri" w:eastAsia="微软雅黑" w:hAnsi="Calibri" w:cs="Calibri"/>
          <w:sz w:val="18"/>
          <w:szCs w:val="18"/>
          <w:shd w:val="clear" w:color="auto" w:fill="FFFFFF"/>
        </w:rPr>
        <w:t>71</w:t>
      </w:r>
      <w:r>
        <w:rPr>
          <w:rFonts w:hint="eastAsia"/>
          <w:sz w:val="18"/>
          <w:szCs w:val="18"/>
          <w:shd w:val="clear" w:color="auto" w:fill="FFFFFF"/>
        </w:rPr>
        <w:t>项。 </w:t>
      </w:r>
      <w:r>
        <w:rPr>
          <w:rFonts w:hint="eastAsia"/>
          <w:sz w:val="18"/>
          <w:szCs w:val="18"/>
        </w:rPr>
        <w:t> </w:t>
      </w:r>
    </w:p>
    <w:p w:rsidR="008D4B2E" w:rsidRDefault="008D4B2E" w:rsidP="008D4B2E">
      <w:pPr>
        <w:pStyle w:val="a3"/>
        <w:spacing w:before="40" w:beforeAutospacing="0" w:after="40" w:afterAutospacing="0"/>
        <w:ind w:firstLine="360"/>
        <w:divId w:val="445973356"/>
      </w:pPr>
      <w:r>
        <w:rPr>
          <w:rFonts w:ascii="Times New Roman" w:hAnsi="Times New Roman" w:cs="Times New Roman"/>
          <w:sz w:val="18"/>
          <w:szCs w:val="18"/>
        </w:rPr>
        <w:t>2</w:t>
      </w:r>
      <w:r>
        <w:rPr>
          <w:rFonts w:hint="eastAsia"/>
          <w:sz w:val="18"/>
          <w:szCs w:val="18"/>
        </w:rPr>
        <w:t>、市场品牌优势</w:t>
      </w:r>
    </w:p>
    <w:p w:rsidR="008D4B2E" w:rsidRDefault="008D4B2E" w:rsidP="008D4B2E">
      <w:pPr>
        <w:pStyle w:val="a3"/>
        <w:spacing w:before="40" w:beforeAutospacing="0" w:after="40" w:afterAutospacing="0"/>
        <w:ind w:firstLine="360"/>
        <w:divId w:val="445973356"/>
      </w:pPr>
      <w:r>
        <w:rPr>
          <w:rFonts w:hint="eastAsia"/>
          <w:sz w:val="18"/>
          <w:szCs w:val="18"/>
        </w:rPr>
        <w:t>公司近年来持续稳步地推进中高端和国际化的战略，目前公司的营销网络已遍布欧、美、亚、非等多个国家和地区，海外本土化的技术和服务团队建设卓有成效，可辐射全球60多个国家和地区的500多家客户，并与众多高端轮胎企业建立了战略合作伙伴关系，客户对公司的认可和信任日益加深。公司在单机智能化、车间智能化和轮胎工厂智能化以及整体智能制造等方面的能力和水平不断提升。公司积极推进数字化、智能化设备的设计、制造与生产，突破高端市场，并根据国家“一带一路”战略，积极开拓海外市场，建立良好的合作伙伴关系。公司的品牌已为国内外中高端客户所熟悉，且售后服务品质已经为广大客户高度认可。</w:t>
      </w:r>
    </w:p>
    <w:p w:rsidR="008D4B2E" w:rsidRDefault="008D4B2E">
      <w:pPr>
        <w:pStyle w:val="a3"/>
        <w:spacing w:before="40" w:beforeAutospacing="0" w:after="40" w:afterAutospacing="0"/>
        <w:ind w:firstLine="360"/>
        <w:divId w:val="445973356"/>
      </w:pPr>
      <w:r>
        <w:rPr>
          <w:rFonts w:ascii="Times New Roman" w:hAnsi="Times New Roman" w:cs="Times New Roman"/>
          <w:sz w:val="18"/>
          <w:szCs w:val="18"/>
        </w:rPr>
        <w:t>3</w:t>
      </w:r>
      <w:r>
        <w:rPr>
          <w:rFonts w:hint="eastAsia"/>
          <w:sz w:val="18"/>
          <w:szCs w:val="18"/>
        </w:rPr>
        <w:t>、核心加工制造能力</w:t>
      </w:r>
    </w:p>
    <w:p w:rsidR="008D4B2E" w:rsidRDefault="008D4B2E">
      <w:pPr>
        <w:pStyle w:val="a3"/>
        <w:spacing w:before="40" w:beforeAutospacing="0" w:after="40" w:afterAutospacing="0"/>
        <w:ind w:firstLine="360"/>
        <w:divId w:val="445973356"/>
      </w:pPr>
      <w:r>
        <w:rPr>
          <w:rFonts w:hint="eastAsia"/>
          <w:sz w:val="18"/>
          <w:szCs w:val="18"/>
        </w:rPr>
        <w:t>公司先后建立了国际先进水平的信息化装备制造基地，物料输送与配料中心，并配备先进的数字化加工设备及精密测量器具，拥有经中国合格评定国家认可委员会认定的计量理化检测中心，有力保障产品的研发和加工制造的精度与质量。充分运用先进的信息化管理手段，推进执行国际化标准，严格控制研发、设计、加工、装配等各个环节。同时与供应</w:t>
      </w:r>
      <w:proofErr w:type="gramStart"/>
      <w:r>
        <w:rPr>
          <w:rFonts w:hint="eastAsia"/>
          <w:sz w:val="18"/>
          <w:szCs w:val="18"/>
        </w:rPr>
        <w:t>商深入</w:t>
      </w:r>
      <w:proofErr w:type="gramEnd"/>
      <w:r>
        <w:rPr>
          <w:rFonts w:hint="eastAsia"/>
          <w:sz w:val="18"/>
          <w:szCs w:val="18"/>
        </w:rPr>
        <w:t>合作，将公司先进的经营模式、管理模式与供应商的特点结合起来，实现各方的共同发展。</w:t>
      </w:r>
    </w:p>
    <w:p w:rsidR="008D4B2E" w:rsidRDefault="008D4B2E">
      <w:pPr>
        <w:pStyle w:val="a3"/>
        <w:spacing w:before="40" w:beforeAutospacing="0" w:after="40" w:afterAutospacing="0"/>
        <w:ind w:firstLine="360"/>
        <w:divId w:val="445973356"/>
      </w:pPr>
      <w:r>
        <w:rPr>
          <w:rFonts w:ascii="Times New Roman" w:hAnsi="Times New Roman" w:cs="Times New Roman"/>
          <w:sz w:val="18"/>
          <w:szCs w:val="18"/>
        </w:rPr>
        <w:t>4</w:t>
      </w:r>
      <w:r>
        <w:rPr>
          <w:rFonts w:hint="eastAsia"/>
          <w:sz w:val="18"/>
          <w:szCs w:val="18"/>
        </w:rPr>
        <w:t>、智能制造的优势</w:t>
      </w:r>
    </w:p>
    <w:p w:rsidR="008D4B2E" w:rsidRDefault="008D4B2E">
      <w:pPr>
        <w:pStyle w:val="a3"/>
        <w:spacing w:before="40" w:beforeAutospacing="0" w:after="40" w:afterAutospacing="0"/>
        <w:ind w:firstLine="360"/>
        <w:divId w:val="445973356"/>
      </w:pPr>
      <w:r>
        <w:rPr>
          <w:rFonts w:hint="eastAsia"/>
          <w:sz w:val="18"/>
          <w:szCs w:val="18"/>
        </w:rPr>
        <w:t>公司是全球领先轮胎生产整体解决方案提供商，产品覆盖轮胎生产全工序。依托成熟的全球研发体系、先进的信息化手段，大量的项目实践，以标准引领智能制造，提供从智能装备到智能工厂的个性化、多维</w:t>
      </w:r>
      <w:proofErr w:type="gramStart"/>
      <w:r>
        <w:rPr>
          <w:rFonts w:hint="eastAsia"/>
          <w:sz w:val="18"/>
          <w:szCs w:val="18"/>
        </w:rPr>
        <w:t>度解决</w:t>
      </w:r>
      <w:proofErr w:type="gramEnd"/>
      <w:r>
        <w:rPr>
          <w:rFonts w:hint="eastAsia"/>
          <w:sz w:val="18"/>
          <w:szCs w:val="18"/>
        </w:rPr>
        <w:t>方案，助力用户实现简化管理、提升品质、降本增效、绿色环保。公司以模块化为基础，围绕重点项目、关键课题推进研发平台建设，强抓</w:t>
      </w:r>
      <w:proofErr w:type="gramStart"/>
      <w:r>
        <w:rPr>
          <w:rFonts w:hint="eastAsia"/>
          <w:sz w:val="18"/>
          <w:szCs w:val="18"/>
        </w:rPr>
        <w:t>制程质量</w:t>
      </w:r>
      <w:proofErr w:type="gramEnd"/>
      <w:r>
        <w:rPr>
          <w:rFonts w:hint="eastAsia"/>
          <w:sz w:val="18"/>
          <w:szCs w:val="18"/>
        </w:rPr>
        <w:t>与供应质量，建立精细化管控样板，简化操作难度，</w:t>
      </w:r>
      <w:proofErr w:type="gramStart"/>
      <w:r>
        <w:rPr>
          <w:rFonts w:hint="eastAsia"/>
          <w:sz w:val="18"/>
          <w:szCs w:val="18"/>
        </w:rPr>
        <w:t>实现制程的</w:t>
      </w:r>
      <w:proofErr w:type="gramEnd"/>
      <w:r>
        <w:rPr>
          <w:rFonts w:hint="eastAsia"/>
          <w:sz w:val="18"/>
          <w:szCs w:val="18"/>
        </w:rPr>
        <w:t>自适应、自调整。</w:t>
      </w:r>
    </w:p>
    <w:p w:rsidR="008D4B2E" w:rsidRDefault="008D4B2E" w:rsidP="008D4B2E">
      <w:pPr>
        <w:pStyle w:val="a3"/>
        <w:spacing w:before="40" w:beforeAutospacing="0" w:after="40" w:afterAutospacing="0"/>
        <w:ind w:firstLine="360"/>
        <w:divId w:val="445973356"/>
      </w:pPr>
      <w:r>
        <w:rPr>
          <w:rFonts w:ascii="Times New Roman" w:hAnsi="Times New Roman" w:cs="Times New Roman"/>
          <w:sz w:val="18"/>
          <w:szCs w:val="18"/>
        </w:rPr>
        <w:t>5</w:t>
      </w:r>
      <w:r>
        <w:rPr>
          <w:rFonts w:hint="eastAsia"/>
          <w:sz w:val="18"/>
          <w:szCs w:val="18"/>
        </w:rPr>
        <w:t>、良好的企业文化和管理优势</w:t>
      </w:r>
    </w:p>
    <w:p w:rsidR="008D4B2E" w:rsidRPr="008D4B2E" w:rsidRDefault="008D4B2E" w:rsidP="008D4B2E">
      <w:pPr>
        <w:pStyle w:val="a3"/>
        <w:spacing w:before="40" w:beforeAutospacing="0" w:after="40" w:afterAutospacing="0"/>
        <w:ind w:firstLine="360"/>
        <w:divId w:val="445973356"/>
      </w:pPr>
      <w:r>
        <w:rPr>
          <w:rFonts w:hint="eastAsia"/>
          <w:sz w:val="18"/>
          <w:szCs w:val="18"/>
        </w:rPr>
        <w:t>公司拥有完整的梯队化管理团队，高级管理人员拥有丰富的项目与行业经验，中级管理人员具有充足的活力与动力，具备良好的创新精神与奋斗精神。</w:t>
      </w:r>
      <w:r>
        <w:rPr>
          <w:rFonts w:ascii="Times New Roman" w:hAnsi="Times New Roman" w:cs="Times New Roman"/>
          <w:sz w:val="18"/>
          <w:szCs w:val="18"/>
        </w:rPr>
        <w:t>20</w:t>
      </w:r>
      <w:r>
        <w:rPr>
          <w:rFonts w:hint="eastAsia"/>
          <w:sz w:val="18"/>
          <w:szCs w:val="18"/>
        </w:rPr>
        <w:t>余年来骨干成员较为稳定，对公司的发展和战略规划的延续起到了至关重要的作用。公司上市后，良好的企业文化、价值观与战略布局，吸引了一批行业内的知名与专业人士作为事业合伙人加入，共谋发展。公司的各项制度与员工关怀举措，都为优化员工结构、提升员工效能、保证公司的团队优势做出了必要的贡献。</w:t>
      </w:r>
    </w:p>
    <w:p w:rsidR="00BA0365" w:rsidRDefault="008D4B2E">
      <w:pPr>
        <w:pStyle w:val="2"/>
        <w:spacing w:before="300" w:after="300" w:line="320" w:lineRule="exact"/>
        <w:rPr>
          <w:rFonts w:ascii="宋体" w:eastAsia="宋体" w:hAnsi="宋体" w:cs="宋体"/>
          <w:b/>
          <w:bCs/>
          <w:sz w:val="24"/>
          <w:szCs w:val="24"/>
        </w:rPr>
      </w:pPr>
      <w:bookmarkStart w:id="17" w:name="_Toc988906"/>
      <w:r>
        <w:rPr>
          <w:rFonts w:ascii="宋体" w:eastAsia="宋体" w:hAnsi="宋体" w:cs="宋体"/>
          <w:b/>
          <w:bCs/>
          <w:sz w:val="24"/>
          <w:szCs w:val="24"/>
        </w:rPr>
        <w:t>四、主营业务分析</w:t>
      </w:r>
      <w:bookmarkEnd w:id="17"/>
    </w:p>
    <w:p w:rsidR="00BA0365" w:rsidRDefault="008D4B2E">
      <w:pPr>
        <w:pStyle w:val="3"/>
        <w:spacing w:line="280" w:lineRule="exact"/>
        <w:jc w:val="left"/>
        <w:rPr>
          <w:rFonts w:ascii="宋体" w:hAnsi="宋体" w:cs="宋体"/>
          <w:b/>
          <w:bCs/>
        </w:rPr>
      </w:pPr>
      <w:bookmarkStart w:id="18" w:name="_Toc988907"/>
      <w:r>
        <w:rPr>
          <w:rFonts w:ascii="宋体" w:hAnsi="宋体" w:cs="宋体"/>
          <w:b/>
          <w:bCs/>
        </w:rPr>
        <w:t>1、概述</w:t>
      </w:r>
      <w:bookmarkEnd w:id="18"/>
    </w:p>
    <w:p w:rsidR="008D4B2E" w:rsidRDefault="008D4B2E">
      <w:pPr>
        <w:pStyle w:val="a3"/>
        <w:spacing w:before="0" w:beforeAutospacing="0" w:after="0" w:afterAutospacing="0"/>
        <w:ind w:firstLine="360"/>
        <w:divId w:val="1160999966"/>
      </w:pPr>
      <w:r>
        <w:rPr>
          <w:rFonts w:hint="eastAsia"/>
          <w:sz w:val="18"/>
          <w:szCs w:val="18"/>
        </w:rPr>
        <w:t>公司成立于2000年，致力于橡胶行业应用软件、信息化装备的研发与创新，为轮胎企业提供软硬结合、管控一体的智能化整体解决方案，推动工业智能化发展，并广泛涉足物联网、RFID、自动化物流、橡胶新材料等领域。公司的主营业务为轮胎橡胶装备与系统的研发与制造，目前已形成较完整的产品链，能够为轮胎生产的配料、密炼、压延、裁断、成型、硫化、检测各个环节提供智能化装备及系统软件服务。</w:t>
      </w:r>
    </w:p>
    <w:p w:rsidR="008D4B2E" w:rsidRDefault="008D4B2E">
      <w:pPr>
        <w:pStyle w:val="a3"/>
        <w:spacing w:before="0" w:beforeAutospacing="0" w:after="0" w:afterAutospacing="0"/>
        <w:ind w:firstLine="360"/>
        <w:divId w:val="1160999966"/>
        <w:rPr>
          <w:rFonts w:ascii="Calibri" w:hAnsi="Calibri" w:cs="Calibri"/>
          <w:sz w:val="21"/>
          <w:szCs w:val="21"/>
        </w:rPr>
      </w:pPr>
      <w:r>
        <w:rPr>
          <w:rFonts w:cs="Calibri" w:hint="eastAsia"/>
          <w:sz w:val="18"/>
          <w:szCs w:val="18"/>
        </w:rPr>
        <w:lastRenderedPageBreak/>
        <w:t>公司致力于“产学研”相结合的发展模式，重视新产品的研发，不断提升生产装备制造基地的水平和效率，同时在加强市场销售和售后服务的同时，保持对经营管理方面的深入探索，逐步形成了产、供、销高效衔接的经营模式。</w:t>
      </w:r>
    </w:p>
    <w:p w:rsidR="008D4B2E" w:rsidRDefault="008D4B2E">
      <w:pPr>
        <w:pStyle w:val="a3"/>
        <w:spacing w:before="0" w:beforeAutospacing="0" w:after="0" w:afterAutospacing="0"/>
        <w:ind w:firstLine="360"/>
        <w:divId w:val="1160999966"/>
        <w:rPr>
          <w:rFonts w:ascii="Calibri" w:hAnsi="Calibri" w:cs="Calibri"/>
          <w:sz w:val="21"/>
          <w:szCs w:val="21"/>
        </w:rPr>
      </w:pPr>
      <w:r>
        <w:rPr>
          <w:rFonts w:cs="Calibri" w:hint="eastAsia"/>
          <w:sz w:val="18"/>
          <w:szCs w:val="18"/>
        </w:rPr>
        <w:t>报告期内，公司在重大研发项目攻关方面全面开展了设计质量前移控制，重大装备已有序推向市场，围绕重点项目、关键课题推进研发平台建设，统一质量认知，强抓</w:t>
      </w:r>
      <w:proofErr w:type="gramStart"/>
      <w:r>
        <w:rPr>
          <w:rFonts w:cs="Calibri" w:hint="eastAsia"/>
          <w:sz w:val="18"/>
          <w:szCs w:val="18"/>
        </w:rPr>
        <w:t>制程质量</w:t>
      </w:r>
      <w:proofErr w:type="gramEnd"/>
      <w:r>
        <w:rPr>
          <w:rFonts w:cs="Calibri" w:hint="eastAsia"/>
          <w:sz w:val="18"/>
          <w:szCs w:val="18"/>
        </w:rPr>
        <w:t>与供应质量，建设精细化管控样板，订单总量高位运行，交付保障能力进一步提升，经过多年发展，公司在橡胶机械领域已率先走在了行业的前列。</w:t>
      </w:r>
    </w:p>
    <w:p w:rsidR="00BA0365" w:rsidRDefault="008D4B2E">
      <w:pPr>
        <w:pStyle w:val="3"/>
        <w:spacing w:line="280" w:lineRule="exact"/>
        <w:jc w:val="left"/>
        <w:rPr>
          <w:rFonts w:ascii="宋体" w:hAnsi="宋体" w:cs="宋体"/>
          <w:b/>
          <w:bCs/>
        </w:rPr>
      </w:pPr>
      <w:bookmarkStart w:id="19" w:name="_Toc988908"/>
      <w:r>
        <w:rPr>
          <w:rFonts w:ascii="宋体" w:hAnsi="宋体" w:cs="宋体"/>
          <w:b/>
          <w:bCs/>
        </w:rPr>
        <w:t>2、收入与成本</w:t>
      </w:r>
      <w:bookmarkEnd w:id="19"/>
    </w:p>
    <w:p w:rsidR="00BA0365" w:rsidRDefault="008D4B2E">
      <w:pPr>
        <w:keepNext/>
        <w:keepLines/>
        <w:spacing w:before="300" w:after="300" w:line="280" w:lineRule="exact"/>
        <w:outlineLvl w:val="3"/>
        <w:rPr>
          <w:rFonts w:ascii="宋体" w:eastAsia="宋体" w:hAnsi="宋体" w:cs="宋体"/>
          <w:b/>
          <w:bCs/>
          <w:szCs w:val="21"/>
        </w:rPr>
      </w:pPr>
      <w:bookmarkStart w:id="20" w:name="_Toc988909"/>
      <w:r>
        <w:rPr>
          <w:rFonts w:ascii="宋体" w:eastAsia="宋体" w:hAnsi="宋体" w:cs="宋体"/>
          <w:b/>
          <w:bCs/>
          <w:szCs w:val="21"/>
        </w:rPr>
        <w:t>（1） 营业收入构成</w:t>
      </w:r>
      <w:bookmarkEnd w:id="2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763"/>
        <w:gridCol w:w="1842"/>
        <w:gridCol w:w="1843"/>
        <w:gridCol w:w="1559"/>
        <w:gridCol w:w="1026"/>
      </w:tblGrid>
      <w:tr w:rsidR="00157EA0" w:rsidTr="00220C19">
        <w:trPr>
          <w:trHeight w:val="240"/>
        </w:trPr>
        <w:tc>
          <w:tcPr>
            <w:tcW w:w="160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60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340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0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157EA0" w:rsidTr="00220C19">
        <w:trPr>
          <w:trHeight w:val="240"/>
        </w:trPr>
        <w:tc>
          <w:tcPr>
            <w:tcW w:w="160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6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占营业收入比重</w:t>
            </w:r>
          </w:p>
        </w:tc>
        <w:tc>
          <w:tcPr>
            <w:tcW w:w="10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营业收入合计</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right"/>
              <w:rPr>
                <w:rFonts w:ascii="宋体" w:eastAsia="宋体" w:hAnsi="宋体" w:cs="宋体"/>
                <w:sz w:val="18"/>
                <w:szCs w:val="18"/>
                <w:shd w:val="clear" w:color="auto" w:fill="D3D3D3"/>
              </w:rPr>
            </w:pPr>
            <w:r>
              <w:rPr>
                <w:rFonts w:ascii="宋体" w:eastAsia="宋体" w:hAnsi="宋体" w:cs="宋体"/>
                <w:sz w:val="18"/>
                <w:szCs w:val="18"/>
                <w:shd w:val="clear" w:color="auto" w:fill="D3D3D3"/>
              </w:rPr>
              <w:t>100%</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w:t>
            </w:r>
          </w:p>
        </w:tc>
      </w:tr>
      <w:tr w:rsidR="00157EA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软件业</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3.79%</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212,368,499.08</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3.70%</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0.85%</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5,433,415,010.74</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96.21%</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5,523,546,458.50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96.30%</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w:t>
            </w:r>
          </w:p>
        </w:tc>
      </w:tr>
      <w:tr w:rsidR="00157EA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4,020,909,944.75</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71.20%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3,265,461,863.27</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56.93%</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23.13%</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橡胶新材料</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1,586,896,743.64</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28.10%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1,450,641,139.10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25.29%</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9.39%</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化工材料</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969,200,932.61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16.90%</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39,788,477.60</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0.70%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50,611,022.60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0.88%</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-21.38%</w:t>
            </w:r>
          </w:p>
        </w:tc>
      </w:tr>
      <w:tr w:rsidR="00157EA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国内</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4,250,295,118.06</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75.26%</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4,407,225,422.47</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76.84%</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-3.56%</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国外</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1,397,300,047.93</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24.74%</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1,328,689,535.11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23.16%</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5.16%</w:t>
            </w:r>
          </w:p>
        </w:tc>
      </w:tr>
      <w:tr w:rsidR="00157EA0">
        <w:trPr>
          <w:trHeight w:val="240"/>
        </w:trPr>
        <w:tc>
          <w:tcPr>
            <w:tcW w:w="963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proofErr w:type="gramStart"/>
            <w:r>
              <w:rPr>
                <w:rFonts w:ascii="宋体" w:eastAsia="宋体" w:hAnsi="宋体" w:cs="宋体"/>
                <w:sz w:val="18"/>
                <w:szCs w:val="18"/>
              </w:rPr>
              <w:t>分销售</w:t>
            </w:r>
            <w:proofErr w:type="gramEnd"/>
            <w:r>
              <w:rPr>
                <w:rFonts w:ascii="宋体" w:eastAsia="宋体" w:hAnsi="宋体" w:cs="宋体"/>
                <w:sz w:val="18"/>
                <w:szCs w:val="18"/>
              </w:rPr>
              <w:t>模式</w:t>
            </w:r>
          </w:p>
        </w:tc>
      </w:tr>
      <w:tr w:rsidR="00157EA0" w:rsidTr="00220C19">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直销</w:t>
            </w:r>
          </w:p>
        </w:tc>
        <w:tc>
          <w:tcPr>
            <w:tcW w:w="176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21" w:name="_Toc988910"/>
      <w:r>
        <w:rPr>
          <w:rFonts w:ascii="宋体" w:eastAsia="宋体" w:hAnsi="宋体" w:cs="宋体"/>
          <w:b/>
          <w:bCs/>
          <w:sz w:val="18"/>
          <w:szCs w:val="18"/>
        </w:rPr>
        <w:t>（2） 占公司营业收入或营业利润10%以上的行业、产品、地区、销售模式的情况</w:t>
      </w:r>
      <w:bookmarkEnd w:id="2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公司需遵守《深圳证券交易所上市公司自律监管指引第3号——行业信息披露》中化工行业的披露要求</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959"/>
        <w:gridCol w:w="1701"/>
        <w:gridCol w:w="1701"/>
        <w:gridCol w:w="1147"/>
        <w:gridCol w:w="1377"/>
        <w:gridCol w:w="1377"/>
        <w:gridCol w:w="1377"/>
      </w:tblGrid>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c>
          <w:tcPr>
            <w:tcW w:w="114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营业成本比上年同期增减</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毛利率比上年同期增减</w:t>
            </w:r>
          </w:p>
        </w:tc>
      </w:tr>
      <w:tr w:rsidR="00157EA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分行业</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软件业</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14,079,974.00</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93.43%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0.85%</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-0.48%</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5,433,415,010.74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4,165,122,275.17</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23.34%</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6.02%</w:t>
            </w:r>
          </w:p>
        </w:tc>
      </w:tr>
      <w:tr w:rsidR="00157EA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分产品</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4,020,909,944.75</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2,837,983,174.72</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29.42%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橡胶新材料</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1,586,896,743.64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1,318,944,541.75</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9.38%</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化工材料</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39,788,477.60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22,274,532.70</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44.02%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-21.38%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5.75%</w:t>
            </w:r>
          </w:p>
        </w:tc>
      </w:tr>
      <w:tr w:rsidR="00157EA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分地区</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国内</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4,250,295,118.06</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3,186,537,760.24</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25.03%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7.83%</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国外</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1,397,300,047.93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992,664,488.93</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28.96%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w:t>
            </w:r>
          </w:p>
        </w:tc>
      </w:tr>
      <w:tr w:rsidR="00157EA0">
        <w:trPr>
          <w:trHeight w:val="240"/>
        </w:trPr>
        <w:tc>
          <w:tcPr>
            <w:tcW w:w="9639" w:type="dxa"/>
            <w:gridSpan w:val="7"/>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proofErr w:type="gramStart"/>
            <w:r>
              <w:rPr>
                <w:rFonts w:ascii="宋体" w:eastAsia="宋体" w:hAnsi="宋体" w:cs="宋体"/>
                <w:sz w:val="18"/>
                <w:szCs w:val="18"/>
              </w:rPr>
              <w:lastRenderedPageBreak/>
              <w:t>分销售</w:t>
            </w:r>
            <w:proofErr w:type="gramEnd"/>
            <w:r>
              <w:rPr>
                <w:rFonts w:ascii="宋体" w:eastAsia="宋体" w:hAnsi="宋体" w:cs="宋体"/>
                <w:sz w:val="18"/>
                <w:szCs w:val="18"/>
              </w:rPr>
              <w:t>模式</w:t>
            </w:r>
          </w:p>
        </w:tc>
      </w:tr>
      <w:tr w:rsidR="00157EA0" w:rsidTr="008D4B2E">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直销</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114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-8.74%</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5.84%</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公司主营业务数据统计口径在报告期发生调整的情况下，公司最近1年按报告期末口径调整后的主营业务数据</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境外业务产生的营业收入或净利润占公司最近一个会计年度经审计营业收入或净利润10%以上</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keepNext/>
        <w:keepLines/>
        <w:spacing w:before="300" w:after="300" w:line="280" w:lineRule="exact"/>
        <w:outlineLvl w:val="3"/>
        <w:rPr>
          <w:rFonts w:ascii="宋体" w:eastAsia="宋体" w:hAnsi="宋体" w:cs="宋体"/>
          <w:b/>
          <w:bCs/>
          <w:sz w:val="18"/>
          <w:szCs w:val="18"/>
        </w:rPr>
      </w:pPr>
      <w:bookmarkStart w:id="22" w:name="_Toc988911"/>
      <w:r>
        <w:rPr>
          <w:rFonts w:ascii="宋体" w:eastAsia="宋体" w:hAnsi="宋体" w:cs="宋体"/>
          <w:b/>
          <w:bCs/>
          <w:sz w:val="18"/>
          <w:szCs w:val="18"/>
        </w:rPr>
        <w:t>（3） 公司实物销售收入是否大于劳务收入</w:t>
      </w:r>
      <w:bookmarkEnd w:id="2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tbl>
      <w:tblPr>
        <w:tblW w:w="9639" w:type="dxa"/>
        <w:tblLayout w:type="fixed"/>
        <w:tblLook w:val="04A0" w:firstRow="1" w:lastRow="0" w:firstColumn="1" w:lastColumn="0" w:noHBand="0" w:noVBand="1"/>
      </w:tblPr>
      <w:tblGrid>
        <w:gridCol w:w="1606"/>
        <w:gridCol w:w="1606"/>
        <w:gridCol w:w="1007"/>
        <w:gridCol w:w="1843"/>
        <w:gridCol w:w="1970"/>
        <w:gridCol w:w="1607"/>
      </w:tblGrid>
      <w:tr w:rsidR="00157EA0" w:rsidTr="008D4B2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行业分类</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0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单位</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197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157EA0" w:rsidTr="008D4B2E">
        <w:trPr>
          <w:trHeight w:val="240"/>
        </w:trPr>
        <w:tc>
          <w:tcPr>
            <w:tcW w:w="1606"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软件业</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销售量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14,079,974.00</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12,951,436.58</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8.71%</w:t>
            </w:r>
          </w:p>
        </w:tc>
      </w:tr>
      <w:tr w:rsidR="00157EA0" w:rsidTr="008D4B2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生产量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16,415,087.84</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15,897,030.33</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3.26%</w:t>
            </w:r>
          </w:p>
        </w:tc>
      </w:tr>
      <w:tr w:rsidR="00157EA0" w:rsidTr="008D4B2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库存量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21,423,599.12</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19,088,485.28</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12.23%</w:t>
            </w:r>
          </w:p>
        </w:tc>
      </w:tr>
      <w:tr w:rsidR="00157EA0" w:rsidTr="008D4B2E">
        <w:trPr>
          <w:trHeight w:val="240"/>
        </w:trPr>
        <w:tc>
          <w:tcPr>
            <w:tcW w:w="1606"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销售量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4,165,122,275.17</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4,566,705,584.21</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-8.79%</w:t>
            </w:r>
          </w:p>
        </w:tc>
      </w:tr>
      <w:tr w:rsidR="00157EA0" w:rsidTr="008D4B2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生产量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5,180,394,832.57</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5,607,584,440.42</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w:t>
            </w:r>
          </w:p>
        </w:tc>
      </w:tr>
      <w:tr w:rsidR="00157EA0" w:rsidTr="008D4B2E">
        <w:trPr>
          <w:trHeight w:val="240"/>
        </w:trPr>
        <w:tc>
          <w:tcPr>
            <w:tcW w:w="1606" w:type="dxa"/>
            <w:vMerge/>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库存量</w:t>
            </w:r>
          </w:p>
        </w:tc>
        <w:tc>
          <w:tcPr>
            <w:tcW w:w="10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元</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5,334,476,182.01</w:t>
            </w:r>
          </w:p>
        </w:tc>
        <w:tc>
          <w:tcPr>
            <w:tcW w:w="197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4,319,203,624.61</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23.51%</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相关数据同比发生变动30%以上的原因说明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23" w:name="_Toc988912"/>
      <w:r>
        <w:rPr>
          <w:rFonts w:ascii="宋体" w:eastAsia="宋体" w:hAnsi="宋体" w:cs="宋体"/>
          <w:b/>
          <w:bCs/>
          <w:sz w:val="18"/>
          <w:szCs w:val="18"/>
        </w:rPr>
        <w:t>（4） 公司已签订的重大销售合同、重大采购合同截至本报告期的履行情况</w:t>
      </w:r>
      <w:bookmarkEnd w:id="2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24" w:name="_Toc988913"/>
      <w:r>
        <w:rPr>
          <w:rFonts w:ascii="宋体" w:eastAsia="宋体" w:hAnsi="宋体" w:cs="宋体"/>
          <w:b/>
          <w:bCs/>
          <w:sz w:val="18"/>
          <w:szCs w:val="18"/>
        </w:rPr>
        <w:t>（5） 营业成本构成</w:t>
      </w:r>
      <w:bookmarkEnd w:id="24"/>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行业和产品分类</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999"/>
        <w:gridCol w:w="1755"/>
        <w:gridCol w:w="1080"/>
        <w:gridCol w:w="1674"/>
        <w:gridCol w:w="1377"/>
        <w:gridCol w:w="1377"/>
      </w:tblGrid>
      <w:tr w:rsidR="00157EA0" w:rsidTr="008D4B2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行业分类</w:t>
            </w:r>
          </w:p>
        </w:tc>
        <w:tc>
          <w:tcPr>
            <w:tcW w:w="99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305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157EA0" w:rsidTr="008D4B2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5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8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6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软件业</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14,079,974.00</w:t>
            </w: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0.34%</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12,951,436.58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8.71%</w:t>
            </w:r>
          </w:p>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4,165,122,275.17</w:t>
            </w: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99.66%</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4,566,705,584.21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-8.79%</w:t>
            </w:r>
          </w:p>
        </w:tc>
      </w:tr>
    </w:tbl>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999"/>
        <w:gridCol w:w="1755"/>
        <w:gridCol w:w="1080"/>
        <w:gridCol w:w="1674"/>
        <w:gridCol w:w="1377"/>
        <w:gridCol w:w="1377"/>
      </w:tblGrid>
      <w:tr w:rsidR="00157EA0" w:rsidTr="008D4B2E">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产品分类</w:t>
            </w:r>
          </w:p>
        </w:tc>
        <w:tc>
          <w:tcPr>
            <w:tcW w:w="99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835"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305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157EA0" w:rsidTr="008D4B2E">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5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8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6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占营业成本比重</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2,837,983,174.72</w:t>
            </w: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67.91%</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2,254,857,772.97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49.24%</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25.86%</w:t>
            </w:r>
          </w:p>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橡胶新材料</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1,318,944,541.75</w:t>
            </w: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31.56%</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1,341,792,466.33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-1.70%</w:t>
            </w:r>
          </w:p>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化工材料</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951,762,546.80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20.78%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157EA0" w:rsidTr="008D4B2E">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75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22,274,532.70</w:t>
            </w:r>
          </w:p>
        </w:tc>
        <w:tc>
          <w:tcPr>
            <w:tcW w:w="108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0.53%</w:t>
            </w:r>
          </w:p>
        </w:tc>
        <w:tc>
          <w:tcPr>
            <w:tcW w:w="16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31,244,234.69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0.68%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-28.71%</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25" w:name="_Toc988914"/>
      <w:r>
        <w:rPr>
          <w:rFonts w:ascii="宋体" w:eastAsia="宋体" w:hAnsi="宋体" w:cs="宋体"/>
          <w:b/>
          <w:bCs/>
          <w:sz w:val="18"/>
          <w:szCs w:val="18"/>
        </w:rPr>
        <w:t>（6） 报告期内合并范围是否发生变动</w:t>
      </w:r>
      <w:bookmarkEnd w:id="2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8D4B2E" w:rsidRDefault="008D4B2E" w:rsidP="007370FD">
      <w:pPr>
        <w:widowControl/>
        <w:ind w:firstLineChars="200" w:firstLine="360"/>
        <w:divId w:val="1732462776"/>
        <w:rPr>
          <w:kern w:val="0"/>
          <w:sz w:val="18"/>
          <w:szCs w:val="18"/>
        </w:rPr>
      </w:pPr>
      <w:r>
        <w:rPr>
          <w:rFonts w:ascii="Times New Roman" w:hAnsi="Times New Roman" w:cs="Times New Roman"/>
          <w:color w:val="000000"/>
          <w:sz w:val="18"/>
          <w:szCs w:val="18"/>
        </w:rPr>
        <w:lastRenderedPageBreak/>
        <w:t>1</w:t>
      </w:r>
      <w:r>
        <w:rPr>
          <w:rFonts w:hint="eastAsia"/>
          <w:color w:val="000000"/>
          <w:sz w:val="18"/>
          <w:szCs w:val="18"/>
        </w:rPr>
        <w:t>、与上年相比本期新增合并单位</w:t>
      </w:r>
      <w:r>
        <w:rPr>
          <w:rFonts w:ascii="Times New Roman" w:hAnsi="Times New Roman" w:cs="Times New Roman"/>
          <w:color w:val="000000"/>
          <w:sz w:val="18"/>
          <w:szCs w:val="18"/>
        </w:rPr>
        <w:t>3</w:t>
      </w:r>
      <w:r>
        <w:rPr>
          <w:rFonts w:hint="eastAsia"/>
          <w:color w:val="000000"/>
          <w:sz w:val="18"/>
          <w:szCs w:val="18"/>
        </w:rPr>
        <w:t>家，具体包括</w:t>
      </w:r>
      <w:proofErr w:type="gramStart"/>
      <w:r>
        <w:rPr>
          <w:rFonts w:hint="eastAsia"/>
          <w:color w:val="000000"/>
          <w:sz w:val="18"/>
          <w:szCs w:val="18"/>
        </w:rPr>
        <w:t>菏泽智控能源</w:t>
      </w:r>
      <w:proofErr w:type="gramEnd"/>
      <w:r>
        <w:rPr>
          <w:rFonts w:hint="eastAsia"/>
          <w:color w:val="000000"/>
          <w:sz w:val="18"/>
          <w:szCs w:val="18"/>
        </w:rPr>
        <w:t>发展有限公司、</w:t>
      </w:r>
      <w:r>
        <w:rPr>
          <w:rFonts w:hint="eastAsia"/>
          <w:color w:val="000000"/>
          <w:sz w:val="18"/>
          <w:szCs w:val="18"/>
        </w:rPr>
        <w:t>HKZQ ENERGY AND TECHNOLOGY CO., LTD.</w:t>
      </w:r>
      <w:r>
        <w:rPr>
          <w:rFonts w:hint="eastAsia"/>
          <w:color w:val="000000"/>
          <w:sz w:val="18"/>
          <w:szCs w:val="18"/>
        </w:rPr>
        <w:t>、德州智控新能源发展有限公司</w:t>
      </w:r>
      <w:r>
        <w:rPr>
          <w:rFonts w:hint="eastAsia"/>
          <w:sz w:val="18"/>
          <w:szCs w:val="18"/>
        </w:rPr>
        <w:t>，均系本年新设立的公司。</w:t>
      </w:r>
    </w:p>
    <w:p w:rsidR="008D4B2E" w:rsidRDefault="008D4B2E" w:rsidP="007370FD">
      <w:pPr>
        <w:ind w:firstLineChars="200" w:firstLine="360"/>
        <w:divId w:val="1234438612"/>
        <w:rPr>
          <w:sz w:val="18"/>
          <w:szCs w:val="18"/>
        </w:rPr>
      </w:pPr>
      <w:r>
        <w:rPr>
          <w:rFonts w:ascii="Times New Roman" w:hAnsi="Times New Roman" w:cs="Times New Roman"/>
          <w:color w:val="000000"/>
          <w:sz w:val="18"/>
          <w:szCs w:val="18"/>
        </w:rPr>
        <w:t>2</w:t>
      </w:r>
      <w:r>
        <w:rPr>
          <w:rFonts w:hint="eastAsia"/>
          <w:color w:val="000000"/>
          <w:sz w:val="18"/>
          <w:szCs w:val="18"/>
        </w:rPr>
        <w:t>、与上年相比本期减少合并单位</w:t>
      </w:r>
      <w:r>
        <w:rPr>
          <w:rFonts w:ascii="Times New Roman" w:hAnsi="Times New Roman" w:cs="Times New Roman"/>
          <w:color w:val="000000"/>
          <w:sz w:val="18"/>
          <w:szCs w:val="18"/>
        </w:rPr>
        <w:t>1</w:t>
      </w:r>
      <w:r>
        <w:rPr>
          <w:rFonts w:hint="eastAsia"/>
          <w:color w:val="000000"/>
          <w:sz w:val="18"/>
          <w:szCs w:val="18"/>
        </w:rPr>
        <w:t>家，具体包括青岛软控智能装备有限公司，因公司股权转让减少</w:t>
      </w:r>
      <w:r>
        <w:rPr>
          <w:rFonts w:ascii="MS Gothic" w:eastAsia="MS Gothic" w:hAnsi="MS Gothic" w:hint="eastAsia"/>
          <w:color w:val="000000"/>
          <w:sz w:val="18"/>
          <w:szCs w:val="18"/>
        </w:rPr>
        <w:t>｡</w:t>
      </w:r>
    </w:p>
    <w:p w:rsidR="00BA0365" w:rsidRDefault="008D4B2E">
      <w:pPr>
        <w:keepNext/>
        <w:keepLines/>
        <w:spacing w:before="300" w:after="300" w:line="280" w:lineRule="exact"/>
        <w:outlineLvl w:val="3"/>
        <w:rPr>
          <w:rFonts w:ascii="宋体" w:eastAsia="宋体" w:hAnsi="宋体" w:cs="宋体"/>
          <w:b/>
          <w:bCs/>
          <w:sz w:val="18"/>
          <w:szCs w:val="18"/>
        </w:rPr>
      </w:pPr>
      <w:bookmarkStart w:id="26" w:name="_Toc988915"/>
      <w:r>
        <w:rPr>
          <w:rFonts w:ascii="宋体" w:eastAsia="宋体" w:hAnsi="宋体" w:cs="宋体"/>
          <w:b/>
          <w:bCs/>
          <w:sz w:val="18"/>
          <w:szCs w:val="18"/>
        </w:rPr>
        <w:t>（7） 公司报告期内业务、产品或服务发生重大变化或调整有关情况</w:t>
      </w:r>
      <w:bookmarkEnd w:id="2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27" w:name="_Toc988916"/>
      <w:r>
        <w:rPr>
          <w:rFonts w:ascii="宋体" w:eastAsia="宋体" w:hAnsi="宋体" w:cs="宋体"/>
          <w:b/>
          <w:bCs/>
          <w:sz w:val="18"/>
          <w:szCs w:val="18"/>
        </w:rPr>
        <w:t>（8） 主要销售客户和主要供应商情况</w:t>
      </w:r>
      <w:bookmarkEnd w:id="2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公司主要销售客户情况</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前五名客户合计销售金额（元）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3,091,597,251.09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前五名客户合计销售金额占年度销售总额比例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54.74%</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前五名客户销售额中关联方销售额占年度销售总额比例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34.92%</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公司前5大客户资料</w:t>
      </w:r>
    </w:p>
    <w:tbl>
      <w:tblPr>
        <w:tblW w:w="9639" w:type="dxa"/>
        <w:tblLayout w:type="fixed"/>
        <w:tblLook w:val="04A0" w:firstRow="1" w:lastRow="0" w:firstColumn="1" w:lastColumn="0" w:noHBand="0" w:noVBand="1"/>
      </w:tblPr>
      <w:tblGrid>
        <w:gridCol w:w="817"/>
        <w:gridCol w:w="4002"/>
        <w:gridCol w:w="2410"/>
        <w:gridCol w:w="2410"/>
      </w:tblGrid>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序号</w:t>
            </w:r>
          </w:p>
        </w:tc>
        <w:tc>
          <w:tcPr>
            <w:tcW w:w="40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客户名称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销售额（元）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占年度销售总额比例</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1</w:t>
            </w:r>
          </w:p>
        </w:tc>
        <w:tc>
          <w:tcPr>
            <w:tcW w:w="40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w:t>
            </w:r>
            <w:proofErr w:type="gramStart"/>
            <w:r>
              <w:rPr>
                <w:rFonts w:ascii="宋体" w:eastAsia="宋体" w:hAnsi="宋体" w:cs="宋体"/>
                <w:sz w:val="18"/>
                <w:szCs w:val="18"/>
              </w:rPr>
              <w:t>一</w:t>
            </w:r>
            <w:proofErr w:type="gramEnd"/>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1,972,029,169.89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34.92%</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w:t>
            </w:r>
          </w:p>
        </w:tc>
        <w:tc>
          <w:tcPr>
            <w:tcW w:w="40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客户二</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568,728,036.40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10.07%</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3</w:t>
            </w:r>
          </w:p>
        </w:tc>
        <w:tc>
          <w:tcPr>
            <w:tcW w:w="40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客户三</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236,404,622.32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4.19%</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4</w:t>
            </w:r>
          </w:p>
        </w:tc>
        <w:tc>
          <w:tcPr>
            <w:tcW w:w="40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客户四</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159,771,322.64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5</w:t>
            </w:r>
          </w:p>
        </w:tc>
        <w:tc>
          <w:tcPr>
            <w:tcW w:w="40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客户五</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154,664,099.84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w:t>
            </w:r>
          </w:p>
        </w:tc>
      </w:tr>
      <w:tr w:rsidR="00157EA0" w:rsidTr="00220C19">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40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3,091,597,251.09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54.74%</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主要客户其他情况说明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rsidP="007370FD">
      <w:pPr>
        <w:widowControl/>
        <w:ind w:firstLineChars="200" w:firstLine="360"/>
        <w:divId w:val="1452357031"/>
        <w:rPr>
          <w:kern w:val="0"/>
          <w:sz w:val="18"/>
          <w:szCs w:val="18"/>
        </w:rPr>
      </w:pPr>
      <w:r>
        <w:rPr>
          <w:rFonts w:hint="eastAsia"/>
          <w:color w:val="000000"/>
          <w:sz w:val="18"/>
          <w:szCs w:val="18"/>
        </w:rPr>
        <w:t>除上述客户</w:t>
      </w:r>
      <w:proofErr w:type="gramStart"/>
      <w:r>
        <w:rPr>
          <w:rFonts w:hint="eastAsia"/>
          <w:color w:val="000000"/>
          <w:sz w:val="18"/>
          <w:szCs w:val="18"/>
        </w:rPr>
        <w:t>一</w:t>
      </w:r>
      <w:proofErr w:type="gramEnd"/>
      <w:r>
        <w:rPr>
          <w:rFonts w:hint="eastAsia"/>
          <w:color w:val="000000"/>
          <w:sz w:val="18"/>
          <w:szCs w:val="18"/>
        </w:rPr>
        <w:t>与公司存在关联关系外，其他客户与公司不存在关联关系，公司董事、监事、高级管理人员、核心技术人员、持股</w:t>
      </w:r>
      <w:r>
        <w:rPr>
          <w:rFonts w:hint="eastAsia"/>
          <w:color w:val="000000"/>
          <w:sz w:val="18"/>
          <w:szCs w:val="18"/>
        </w:rPr>
        <w:t xml:space="preserve"> </w:t>
      </w:r>
      <w:r>
        <w:rPr>
          <w:rFonts w:ascii="Times New Roman" w:hAnsi="Times New Roman" w:cs="Times New Roman"/>
          <w:color w:val="000000"/>
          <w:sz w:val="18"/>
          <w:szCs w:val="18"/>
        </w:rPr>
        <w:t>5%</w:t>
      </w:r>
      <w:r>
        <w:rPr>
          <w:rFonts w:hint="eastAsia"/>
          <w:color w:val="000000"/>
          <w:sz w:val="18"/>
          <w:szCs w:val="18"/>
        </w:rPr>
        <w:t>以上股东、实际控制人和其他关联方在主要客户中不直接或者间接拥有权益。</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公司主要供应商情况</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前五名供应商合计采购金额（元）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799,491,218.32</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前五名供应商合计采购金额占年度采购总额比例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前五名供应商采购额中关联方采购额占年度采购总额比例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公司前5名供应商资料</w:t>
      </w:r>
    </w:p>
    <w:tbl>
      <w:tblPr>
        <w:tblW w:w="9639" w:type="dxa"/>
        <w:tblLayout w:type="fixed"/>
        <w:tblLook w:val="04A0" w:firstRow="1" w:lastRow="0" w:firstColumn="1" w:lastColumn="0" w:noHBand="0" w:noVBand="1"/>
      </w:tblPr>
      <w:tblGrid>
        <w:gridCol w:w="959"/>
        <w:gridCol w:w="3860"/>
        <w:gridCol w:w="2410"/>
        <w:gridCol w:w="2410"/>
      </w:tblGrid>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序号</w:t>
            </w:r>
          </w:p>
        </w:tc>
        <w:tc>
          <w:tcPr>
            <w:tcW w:w="38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供应商名称</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采购额（元）</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占年度采购总额比例</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1</w:t>
            </w:r>
          </w:p>
        </w:tc>
        <w:tc>
          <w:tcPr>
            <w:tcW w:w="38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供应商</w:t>
            </w:r>
            <w:proofErr w:type="gramStart"/>
            <w:r>
              <w:rPr>
                <w:rFonts w:ascii="宋体" w:eastAsia="宋体" w:hAnsi="宋体" w:cs="宋体"/>
                <w:sz w:val="18"/>
                <w:szCs w:val="18"/>
              </w:rPr>
              <w:t>一</w:t>
            </w:r>
            <w:proofErr w:type="gramEnd"/>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502,389,750.28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11.49%</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w:t>
            </w:r>
          </w:p>
        </w:tc>
        <w:tc>
          <w:tcPr>
            <w:tcW w:w="38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供应商二</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101,136,942.00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3</w:t>
            </w:r>
          </w:p>
        </w:tc>
        <w:tc>
          <w:tcPr>
            <w:tcW w:w="38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供应商三</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72,332,406.00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1.66%</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4</w:t>
            </w:r>
          </w:p>
        </w:tc>
        <w:tc>
          <w:tcPr>
            <w:tcW w:w="38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供应商四</w:t>
            </w:r>
            <w:proofErr w:type="gramEnd"/>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66,840,520.04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5</w:t>
            </w:r>
          </w:p>
        </w:tc>
        <w:tc>
          <w:tcPr>
            <w:tcW w:w="38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供应商五</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56,791,600.00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w:t>
            </w:r>
          </w:p>
        </w:tc>
      </w:tr>
      <w:tr w:rsidR="00157EA0" w:rsidTr="00220C19">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38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799,491,218.32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18.29%</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主要供应</w:t>
      </w:r>
      <w:proofErr w:type="gramStart"/>
      <w:r>
        <w:rPr>
          <w:rFonts w:ascii="宋体" w:eastAsia="宋体" w:hAnsi="宋体" w:cs="宋体"/>
          <w:sz w:val="18"/>
          <w:szCs w:val="18"/>
        </w:rPr>
        <w:t>商其他</w:t>
      </w:r>
      <w:proofErr w:type="gramEnd"/>
      <w:r>
        <w:rPr>
          <w:rFonts w:ascii="宋体" w:eastAsia="宋体" w:hAnsi="宋体" w:cs="宋体"/>
          <w:sz w:val="18"/>
          <w:szCs w:val="18"/>
        </w:rPr>
        <w:t>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pPr>
        <w:widowControl/>
        <w:divId w:val="279651034"/>
        <w:rPr>
          <w:kern w:val="0"/>
          <w:sz w:val="18"/>
          <w:szCs w:val="18"/>
        </w:rPr>
      </w:pPr>
      <w:r>
        <w:rPr>
          <w:rFonts w:hint="eastAsia"/>
          <w:color w:val="000000"/>
          <w:sz w:val="18"/>
          <w:szCs w:val="18"/>
        </w:rPr>
        <w:t>公司前五名供应商与公司不存在关联关系，公司董事、监事、高级管理人员、核心技术人员、持股</w:t>
      </w:r>
      <w:r>
        <w:rPr>
          <w:rFonts w:hint="eastAsia"/>
          <w:color w:val="000000"/>
          <w:sz w:val="18"/>
          <w:szCs w:val="18"/>
        </w:rPr>
        <w:t xml:space="preserve"> </w:t>
      </w:r>
      <w:r>
        <w:rPr>
          <w:rFonts w:ascii="Times New Roman" w:hAnsi="Times New Roman" w:cs="Times New Roman"/>
          <w:color w:val="000000"/>
          <w:sz w:val="18"/>
          <w:szCs w:val="18"/>
        </w:rPr>
        <w:t>5%</w:t>
      </w:r>
      <w:r>
        <w:rPr>
          <w:rFonts w:hint="eastAsia"/>
          <w:color w:val="000000"/>
          <w:sz w:val="18"/>
          <w:szCs w:val="18"/>
        </w:rPr>
        <w:t>以上股东、实际</w:t>
      </w:r>
      <w:r>
        <w:rPr>
          <w:rFonts w:hint="eastAsia"/>
          <w:sz w:val="18"/>
          <w:szCs w:val="18"/>
        </w:rPr>
        <w:t>控制人和其他关联方在主要供应商中不直接或者间接拥有权益。</w:t>
      </w:r>
    </w:p>
    <w:p w:rsidR="00BA0365" w:rsidRDefault="008D4B2E">
      <w:pPr>
        <w:pStyle w:val="3"/>
        <w:spacing w:line="280" w:lineRule="exact"/>
        <w:jc w:val="left"/>
        <w:rPr>
          <w:rFonts w:ascii="宋体" w:hAnsi="宋体" w:cs="宋体"/>
          <w:b/>
          <w:bCs/>
        </w:rPr>
      </w:pPr>
      <w:bookmarkStart w:id="28" w:name="_Toc988917"/>
      <w:r>
        <w:rPr>
          <w:rFonts w:ascii="宋体" w:hAnsi="宋体" w:cs="宋体"/>
          <w:b/>
          <w:bCs/>
        </w:rPr>
        <w:lastRenderedPageBreak/>
        <w:t>3、费用</w:t>
      </w:r>
      <w:bookmarkEnd w:id="2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725"/>
        <w:gridCol w:w="1701"/>
        <w:gridCol w:w="992"/>
        <w:gridCol w:w="3294"/>
      </w:tblGrid>
      <w:tr w:rsidR="00157EA0" w:rsidTr="008D4B2E">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2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c>
          <w:tcPr>
            <w:tcW w:w="329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重大变动说明</w:t>
            </w:r>
          </w:p>
        </w:tc>
      </w:tr>
      <w:tr w:rsidR="00157EA0" w:rsidTr="008D4B2E">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销售费用</w:t>
            </w:r>
          </w:p>
        </w:tc>
        <w:tc>
          <w:tcPr>
            <w:tcW w:w="17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156,988,361.62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137,838,332.81</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13.89%</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D4B2E">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管理费用</w:t>
            </w:r>
          </w:p>
        </w:tc>
        <w:tc>
          <w:tcPr>
            <w:tcW w:w="17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458,119,027.04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407,317,166.19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12.47%</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D4B2E">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财务费用</w:t>
            </w:r>
          </w:p>
        </w:tc>
        <w:tc>
          <w:tcPr>
            <w:tcW w:w="17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65,061,912.58</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18,476,849.15</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252.13%</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子公司益</w:t>
            </w:r>
            <w:proofErr w:type="gramStart"/>
            <w:r>
              <w:rPr>
                <w:rFonts w:ascii="宋体" w:eastAsia="宋体" w:hAnsi="宋体" w:cs="宋体"/>
                <w:sz w:val="18"/>
                <w:szCs w:val="18"/>
              </w:rPr>
              <w:t>凯</w:t>
            </w:r>
            <w:proofErr w:type="gramEnd"/>
            <w:r>
              <w:rPr>
                <w:rFonts w:ascii="宋体" w:eastAsia="宋体" w:hAnsi="宋体" w:cs="宋体"/>
                <w:sz w:val="18"/>
                <w:szCs w:val="18"/>
              </w:rPr>
              <w:t>新材料2022年末在建工程转固，利息费用停止资本化所致。</w:t>
            </w:r>
          </w:p>
        </w:tc>
      </w:tr>
      <w:tr w:rsidR="00157EA0" w:rsidTr="008D4B2E">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研发费用</w:t>
            </w:r>
          </w:p>
        </w:tc>
        <w:tc>
          <w:tcPr>
            <w:tcW w:w="17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18.37%</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bl>
    <w:p w:rsidR="00BA0365" w:rsidRDefault="008D4B2E">
      <w:pPr>
        <w:pStyle w:val="3"/>
        <w:spacing w:line="280" w:lineRule="exact"/>
        <w:jc w:val="left"/>
        <w:rPr>
          <w:rFonts w:ascii="宋体" w:hAnsi="宋体" w:cs="宋体"/>
          <w:b/>
          <w:bCs/>
        </w:rPr>
      </w:pPr>
      <w:bookmarkStart w:id="29" w:name="_Toc988918"/>
      <w:r>
        <w:rPr>
          <w:rFonts w:ascii="宋体" w:hAnsi="宋体" w:cs="宋体"/>
          <w:b/>
          <w:bCs/>
        </w:rPr>
        <w:t>4、研发投入</w:t>
      </w:r>
      <w:bookmarkEnd w:id="2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1242"/>
        <w:gridCol w:w="4962"/>
        <w:gridCol w:w="850"/>
        <w:gridCol w:w="851"/>
        <w:gridCol w:w="1734"/>
      </w:tblGrid>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主要研发项目名称</w:t>
            </w:r>
          </w:p>
        </w:tc>
        <w:tc>
          <w:tcPr>
            <w:tcW w:w="496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项目目的</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项目进展</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拟达到的目标</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预计对公司未来发展的影响</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全钢轻卡专用机型项目</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在轻卡专用机型上实现复合件自动贴合、垫胶自动贴合等工艺，降低操作工的劳动强度，具备高自动化的主机供料系统、高自动化的辅机供料系统、轻</w:t>
            </w:r>
            <w:proofErr w:type="gramStart"/>
            <w:r>
              <w:rPr>
                <w:rFonts w:ascii="宋体" w:eastAsia="宋体" w:hAnsi="宋体" w:cs="宋体"/>
                <w:sz w:val="18"/>
                <w:szCs w:val="18"/>
              </w:rPr>
              <w:t>卡规格单循环时间</w:t>
            </w:r>
            <w:proofErr w:type="gramEnd"/>
            <w:r>
              <w:rPr>
                <w:rFonts w:ascii="宋体" w:eastAsia="宋体" w:hAnsi="宋体" w:cs="宋体"/>
                <w:sz w:val="18"/>
                <w:szCs w:val="18"/>
              </w:rPr>
              <w:t>小于90S，满足客户快速交付需求。</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进一步完善产品系列，提升产品竞争力。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两次法农用</w:t>
            </w:r>
            <w:proofErr w:type="gramStart"/>
            <w:r>
              <w:rPr>
                <w:rFonts w:ascii="宋体" w:eastAsia="宋体" w:hAnsi="宋体" w:cs="宋体"/>
                <w:sz w:val="18"/>
                <w:szCs w:val="18"/>
              </w:rPr>
              <w:t>胎</w:t>
            </w:r>
            <w:proofErr w:type="gramEnd"/>
            <w:r>
              <w:rPr>
                <w:rFonts w:ascii="宋体" w:eastAsia="宋体" w:hAnsi="宋体" w:cs="宋体"/>
                <w:sz w:val="18"/>
                <w:szCs w:val="18"/>
              </w:rPr>
              <w:t>成型机</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两次法农用</w:t>
            </w:r>
            <w:proofErr w:type="gramStart"/>
            <w:r>
              <w:rPr>
                <w:rFonts w:ascii="宋体" w:eastAsia="宋体" w:hAnsi="宋体" w:cs="宋体"/>
                <w:sz w:val="18"/>
                <w:szCs w:val="18"/>
              </w:rPr>
              <w:t>胎</w:t>
            </w:r>
            <w:proofErr w:type="gramEnd"/>
            <w:r>
              <w:rPr>
                <w:rFonts w:ascii="宋体" w:eastAsia="宋体" w:hAnsi="宋体" w:cs="宋体"/>
                <w:sz w:val="18"/>
                <w:szCs w:val="18"/>
              </w:rPr>
              <w:t>成型机从设备的布局、正反包等技术的创新应用，新型供料的应用，自动裁断功能的研发创新等，本产品是基于轮胎制造工艺基础上的完全创新，减少客户现场操作人员的工作量。</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客户现场测试</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为公司实现全系列产品的覆盖奠定坚实基础。</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半钢二次法成型机一人机</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本机型优化时序，提高生产效率，操作人数由2人减少为1人操作，实现全自动化生产并实现自动上胎圈功能，是一款自动化、智能化产品。</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客户现场测试</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产品升级换代，进一步提高产品竞争力。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成型机测试平台</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研发一台用来验证主要关键零部件解决方案的可靠性机台，测试新型伺服控制系统、低压电器、传感器、精密减速机、变频电机等关键零部件。</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测试验证阶段</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储备产品与技术，实现高端装备自主可控的能力。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工程胎巨胎胎体裁断一体机生产线研发</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研发新一代高自动化、高效率的“工程胎巨胎胎体裁断一体机生产线”，通过一体</w:t>
            </w:r>
            <w:proofErr w:type="gramStart"/>
            <w:r>
              <w:rPr>
                <w:rFonts w:ascii="宋体" w:eastAsia="宋体" w:hAnsi="宋体" w:cs="宋体"/>
                <w:sz w:val="18"/>
                <w:szCs w:val="18"/>
              </w:rPr>
              <w:t>机形式</w:t>
            </w:r>
            <w:proofErr w:type="gramEnd"/>
            <w:r>
              <w:rPr>
                <w:rFonts w:ascii="宋体" w:eastAsia="宋体" w:hAnsi="宋体" w:cs="宋体"/>
                <w:sz w:val="18"/>
                <w:szCs w:val="18"/>
              </w:rPr>
              <w:t>同时应用于工程胎、巨胎胎体的所有规格生产需求，满足市场对工程胎、巨胎生产的自动化、高质量、高效率日益增加的需求。</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丰富产品线，增加行业竞争力。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新一代全自动小料项目</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新一代全自动小料称量系统是集解包、除尘、存储、称量、输送</w:t>
            </w:r>
            <w:proofErr w:type="gramStart"/>
            <w:r>
              <w:rPr>
                <w:rFonts w:ascii="宋体" w:eastAsia="宋体" w:hAnsi="宋体" w:cs="宋体"/>
                <w:sz w:val="18"/>
                <w:szCs w:val="18"/>
              </w:rPr>
              <w:t>及料袋自动</w:t>
            </w:r>
            <w:proofErr w:type="gramEnd"/>
            <w:r>
              <w:rPr>
                <w:rFonts w:ascii="宋体" w:eastAsia="宋体" w:hAnsi="宋体" w:cs="宋体"/>
                <w:sz w:val="18"/>
                <w:szCs w:val="18"/>
              </w:rPr>
              <w:t>制作、自动封口于一体的全自动化设备。使用该设备可以显著提高小料称量过程的自动化程度，同时降低人工劳动强度，减少操作工数量，</w:t>
            </w:r>
            <w:proofErr w:type="gramStart"/>
            <w:r>
              <w:rPr>
                <w:rFonts w:ascii="宋体" w:eastAsia="宋体" w:hAnsi="宋体" w:cs="宋体"/>
                <w:sz w:val="18"/>
                <w:szCs w:val="18"/>
              </w:rPr>
              <w:t>改善密炼车间</w:t>
            </w:r>
            <w:proofErr w:type="gramEnd"/>
            <w:r>
              <w:rPr>
                <w:rFonts w:ascii="宋体" w:eastAsia="宋体" w:hAnsi="宋体" w:cs="宋体"/>
                <w:sz w:val="18"/>
                <w:szCs w:val="18"/>
              </w:rPr>
              <w:t>的工作环境。</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产品升级换代，进一步提高产品竞争力，提升市场占有率。</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袖筒式空气弹簧成型机</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自动袖筒式空气弹簧成型机是一种新的专门为袖筒式空气弹簧成型的设备，新方案能够满足客户的工艺需求，主要实现帘布新裁断成型工艺、全自动供料贴合、胶料贴合压力精确控制技术、多层胶料一次性不间断贴合技术、帘布</w:t>
            </w:r>
            <w:proofErr w:type="gramStart"/>
            <w:r>
              <w:rPr>
                <w:rFonts w:ascii="宋体" w:eastAsia="宋体" w:hAnsi="宋体" w:cs="宋体"/>
                <w:sz w:val="18"/>
                <w:szCs w:val="18"/>
              </w:rPr>
              <w:t>吸附式递料及</w:t>
            </w:r>
            <w:proofErr w:type="gramEnd"/>
            <w:r>
              <w:rPr>
                <w:rFonts w:ascii="宋体" w:eastAsia="宋体" w:hAnsi="宋体" w:cs="宋体"/>
                <w:sz w:val="18"/>
                <w:szCs w:val="18"/>
              </w:rPr>
              <w:t>裁切技术、薄胶料吸附递送定位技术等。</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拓展其他细分市场，完善产品线产品。</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全自动半钢一次法成型机</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全自动半钢一次法成型机是一款全自动的轮胎成型设备，轮胎成型全过程仅需一人监控，同时能兼顾</w:t>
            </w:r>
            <w:proofErr w:type="gramStart"/>
            <w:r>
              <w:rPr>
                <w:rFonts w:ascii="宋体" w:eastAsia="宋体" w:hAnsi="宋体" w:cs="宋体"/>
                <w:sz w:val="18"/>
                <w:szCs w:val="18"/>
              </w:rPr>
              <w:t>手动上</w:t>
            </w:r>
            <w:proofErr w:type="gramEnd"/>
            <w:r>
              <w:rPr>
                <w:rFonts w:ascii="宋体" w:eastAsia="宋体" w:hAnsi="宋体" w:cs="宋体"/>
                <w:sz w:val="18"/>
                <w:szCs w:val="18"/>
              </w:rPr>
              <w:t>圈、人工修胎及修胎后自动对接物流线的功能，扩展其运用范围，提高效率，减少人力成本。</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全面提高产品智能化、自动化程度，打造国际领先的明星产品，提高企业成型产品核心竞争力。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视觉技术研发</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自主研发适用橡胶机械行业的机器视觉技术产品族，主要包括缺陷检测、生产过程监测、视觉引导等技术及产品。</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具备量</w:t>
            </w:r>
            <w:proofErr w:type="gramStart"/>
            <w:r>
              <w:rPr>
                <w:rFonts w:ascii="宋体" w:eastAsia="宋体" w:hAnsi="宋体" w:cs="宋体"/>
                <w:sz w:val="18"/>
                <w:szCs w:val="18"/>
              </w:rPr>
              <w:t>产上市</w:t>
            </w:r>
            <w:proofErr w:type="gramEnd"/>
            <w:r>
              <w:rPr>
                <w:rFonts w:ascii="宋体" w:eastAsia="宋体" w:hAnsi="宋体" w:cs="宋体"/>
                <w:sz w:val="18"/>
                <w:szCs w:val="18"/>
              </w:rPr>
              <w:t>条件</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满足轮胎及制品行业对于产品高质量的要求，</w:t>
            </w:r>
            <w:proofErr w:type="gramStart"/>
            <w:r>
              <w:rPr>
                <w:rFonts w:ascii="宋体" w:eastAsia="宋体" w:hAnsi="宋体" w:cs="宋体"/>
                <w:sz w:val="18"/>
                <w:szCs w:val="18"/>
              </w:rPr>
              <w:t>助力软控整机</w:t>
            </w:r>
            <w:proofErr w:type="gramEnd"/>
            <w:r>
              <w:rPr>
                <w:rFonts w:ascii="宋体" w:eastAsia="宋体" w:hAnsi="宋体" w:cs="宋体"/>
                <w:sz w:val="18"/>
                <w:szCs w:val="18"/>
              </w:rPr>
              <w:t>产品的销售，提升企业整体竞争</w:t>
            </w:r>
            <w:r>
              <w:rPr>
                <w:rFonts w:ascii="宋体" w:eastAsia="宋体" w:hAnsi="宋体" w:cs="宋体"/>
                <w:sz w:val="18"/>
                <w:szCs w:val="18"/>
              </w:rPr>
              <w:lastRenderedPageBreak/>
              <w:t>力。</w:t>
            </w:r>
          </w:p>
        </w:tc>
      </w:tr>
      <w:tr w:rsidR="00157EA0" w:rsidTr="00AF7E7B">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运</w:t>
            </w:r>
            <w:proofErr w:type="gramStart"/>
            <w:r>
              <w:rPr>
                <w:rFonts w:ascii="宋体" w:eastAsia="宋体" w:hAnsi="宋体" w:cs="宋体"/>
                <w:sz w:val="18"/>
                <w:szCs w:val="18"/>
              </w:rPr>
              <w:t>维中心</w:t>
            </w:r>
            <w:proofErr w:type="gramEnd"/>
            <w:r>
              <w:rPr>
                <w:rFonts w:ascii="宋体" w:eastAsia="宋体" w:hAnsi="宋体" w:cs="宋体"/>
                <w:sz w:val="18"/>
                <w:szCs w:val="18"/>
              </w:rPr>
              <w:t>系统</w:t>
            </w:r>
          </w:p>
        </w:tc>
        <w:tc>
          <w:tcPr>
            <w:tcW w:w="49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运</w:t>
            </w:r>
            <w:proofErr w:type="gramStart"/>
            <w:r>
              <w:rPr>
                <w:rFonts w:ascii="宋体" w:eastAsia="宋体" w:hAnsi="宋体" w:cs="宋体"/>
                <w:sz w:val="18"/>
                <w:szCs w:val="18"/>
              </w:rPr>
              <w:t>维中心</w:t>
            </w:r>
            <w:proofErr w:type="gramEnd"/>
            <w:r>
              <w:rPr>
                <w:rFonts w:ascii="宋体" w:eastAsia="宋体" w:hAnsi="宋体" w:cs="宋体"/>
                <w:sz w:val="18"/>
                <w:szCs w:val="18"/>
              </w:rPr>
              <w:t>系统是智能调度运</w:t>
            </w:r>
            <w:proofErr w:type="gramStart"/>
            <w:r>
              <w:rPr>
                <w:rFonts w:ascii="宋体" w:eastAsia="宋体" w:hAnsi="宋体" w:cs="宋体"/>
                <w:sz w:val="18"/>
                <w:szCs w:val="18"/>
              </w:rPr>
              <w:t>维工处理</w:t>
            </w:r>
            <w:proofErr w:type="gramEnd"/>
            <w:r>
              <w:rPr>
                <w:rFonts w:ascii="宋体" w:eastAsia="宋体" w:hAnsi="宋体" w:cs="宋体"/>
                <w:sz w:val="18"/>
                <w:szCs w:val="18"/>
              </w:rPr>
              <w:t>设备基础报警任务，通过数字孪生，在数字虚拟世界中构建设备模型，通过信息化平台展示物理实体的状态；根据实际状态智能运算，向最优运</w:t>
            </w:r>
            <w:proofErr w:type="gramStart"/>
            <w:r>
              <w:rPr>
                <w:rFonts w:ascii="宋体" w:eastAsia="宋体" w:hAnsi="宋体" w:cs="宋体"/>
                <w:sz w:val="18"/>
                <w:szCs w:val="18"/>
              </w:rPr>
              <w:t>维工派发</w:t>
            </w:r>
            <w:proofErr w:type="gramEnd"/>
            <w:r>
              <w:rPr>
                <w:rFonts w:ascii="宋体" w:eastAsia="宋体" w:hAnsi="宋体" w:cs="宋体"/>
                <w:sz w:val="18"/>
                <w:szCs w:val="18"/>
              </w:rPr>
              <w:t>任务进行处理。保证设备及时运行，实现2-3人运</w:t>
            </w:r>
            <w:proofErr w:type="gramStart"/>
            <w:r>
              <w:rPr>
                <w:rFonts w:ascii="宋体" w:eastAsia="宋体" w:hAnsi="宋体" w:cs="宋体"/>
                <w:sz w:val="18"/>
                <w:szCs w:val="18"/>
              </w:rPr>
              <w:t>维工同时</w:t>
            </w:r>
            <w:proofErr w:type="gramEnd"/>
            <w:r>
              <w:rPr>
                <w:rFonts w:ascii="宋体" w:eastAsia="宋体" w:hAnsi="宋体" w:cs="宋体"/>
                <w:sz w:val="18"/>
                <w:szCs w:val="18"/>
              </w:rPr>
              <w:t>维护多台设备运行，提升效率。</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批量化应用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满足厂内及客户现场应用需求</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为客户工厂减员增效，提高对客户端问题的响应速度进而提高客户满意度。</w:t>
            </w:r>
            <w:proofErr w:type="gramStart"/>
            <w:r>
              <w:rPr>
                <w:rFonts w:ascii="宋体" w:eastAsia="宋体" w:hAnsi="宋体" w:cs="宋体"/>
                <w:sz w:val="18"/>
                <w:szCs w:val="18"/>
              </w:rPr>
              <w:t>增加软控橡胶</w:t>
            </w:r>
            <w:proofErr w:type="gramEnd"/>
            <w:r>
              <w:rPr>
                <w:rFonts w:ascii="宋体" w:eastAsia="宋体" w:hAnsi="宋体" w:cs="宋体"/>
                <w:sz w:val="18"/>
                <w:szCs w:val="18"/>
              </w:rPr>
              <w:t>机械设备产品的竞争力。</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公司研发人员情况</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变动比例</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研发人员数量（人）</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研发人员数量占比</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25.62%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w:t>
            </w:r>
          </w:p>
        </w:tc>
      </w:tr>
      <w:tr w:rsidR="00157EA0">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研发人员学历结构</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本科</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硕士</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14.41%</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大专及以下</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-0.26%</w:t>
            </w:r>
          </w:p>
        </w:tc>
      </w:tr>
      <w:tr w:rsidR="00157EA0">
        <w:trPr>
          <w:trHeight w:val="240"/>
        </w:trPr>
        <w:tc>
          <w:tcPr>
            <w:tcW w:w="963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研发人员年龄构成</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30岁以下</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30~40岁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8.38%</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40岁以上</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5.82%</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公司研发投入情况</w:t>
      </w:r>
    </w:p>
    <w:tbl>
      <w:tblPr>
        <w:tblW w:w="9639" w:type="dxa"/>
        <w:tblLayout w:type="fixed"/>
        <w:tblLook w:val="04A0" w:firstRow="1" w:lastRow="0" w:firstColumn="1" w:lastColumn="0" w:noHBand="0" w:noVBand="1"/>
      </w:tblPr>
      <w:tblGrid>
        <w:gridCol w:w="2974"/>
        <w:gridCol w:w="2410"/>
        <w:gridCol w:w="2410"/>
        <w:gridCol w:w="1845"/>
      </w:tblGrid>
      <w:tr w:rsidR="00157EA0" w:rsidTr="00077EE9">
        <w:trPr>
          <w:trHeight w:val="240"/>
        </w:trPr>
        <w:tc>
          <w:tcPr>
            <w:tcW w:w="29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变动比例</w:t>
            </w:r>
          </w:p>
        </w:tc>
      </w:tr>
      <w:tr w:rsidR="00157EA0" w:rsidTr="00077EE9">
        <w:trPr>
          <w:trHeight w:val="240"/>
        </w:trPr>
        <w:tc>
          <w:tcPr>
            <w:tcW w:w="29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研发投入金额（元）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c>
          <w:tcPr>
            <w:tcW w:w="184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18.37%</w:t>
            </w:r>
          </w:p>
        </w:tc>
      </w:tr>
      <w:tr w:rsidR="00157EA0" w:rsidTr="00077EE9">
        <w:trPr>
          <w:trHeight w:val="240"/>
        </w:trPr>
        <w:tc>
          <w:tcPr>
            <w:tcW w:w="29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研发投入占营业收入比例</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w:t>
            </w:r>
          </w:p>
        </w:tc>
        <w:tc>
          <w:tcPr>
            <w:tcW w:w="184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w:t>
            </w:r>
          </w:p>
        </w:tc>
      </w:tr>
      <w:tr w:rsidR="00157EA0" w:rsidTr="00077EE9">
        <w:trPr>
          <w:trHeight w:val="240"/>
        </w:trPr>
        <w:tc>
          <w:tcPr>
            <w:tcW w:w="29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研发投入资本化的金额（元）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Pr="00077EE9"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077EE9">
        <w:trPr>
          <w:trHeight w:val="240"/>
        </w:trPr>
        <w:tc>
          <w:tcPr>
            <w:tcW w:w="29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资本化研发投入占研发投入的比例</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84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公司研发人员构成发生重大变化的原因及影响</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研发投入总额占营业收入的比重较上年发生显著变化的原因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研发投入资本化率大幅变动的原因及其合理性说明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30" w:name="_Toc988919"/>
      <w:r>
        <w:rPr>
          <w:rFonts w:ascii="宋体" w:hAnsi="宋体" w:cs="宋体"/>
          <w:b/>
          <w:bCs/>
        </w:rPr>
        <w:t>5、现金流</w:t>
      </w:r>
      <w:bookmarkEnd w:id="3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660"/>
        <w:gridCol w:w="2159"/>
        <w:gridCol w:w="2410"/>
        <w:gridCol w:w="2410"/>
      </w:tblGrid>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1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同比增减</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7,843,702,867.37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7,900,455,062.27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-0.72%</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7,612,298,119.80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7,517,720,409.36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231,404,747.57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382,734,652.91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-39.54%</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3,089,477,862.22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3,458,082,792.28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-10.66%</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3,915,132,471.11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4,210,241,460.08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-7.01%</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-825,654,608.89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-752,158,667.80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-9.77%</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1,570,161,165.28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1,506,385,846.05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4.23%</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筹资活动现金流出小计</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1,028,037,955.26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758,541,005.20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35.53%</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542,123,210.02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747,844,840.85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-27.51%</w:t>
            </w:r>
          </w:p>
        </w:tc>
      </w:tr>
      <w:tr w:rsidR="00157EA0" w:rsidTr="00832133">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现金及现金等价物净增加额</w:t>
            </w:r>
          </w:p>
        </w:tc>
        <w:tc>
          <w:tcPr>
            <w:tcW w:w="21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-57,175,228.57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396,993,727.28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-114.40%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相关数据同比发生重大变动的主要影响因素说明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7370FD" w:rsidRDefault="008D4B2E" w:rsidP="007370FD">
      <w:pPr>
        <w:spacing w:before="100" w:after="100" w:line="240" w:lineRule="exact"/>
        <w:divId w:val="5639096"/>
        <w:rPr>
          <w:rFonts w:ascii="宋体" w:eastAsia="宋体" w:hAnsi="宋体" w:cs="宋体"/>
          <w:sz w:val="18"/>
          <w:szCs w:val="18"/>
        </w:rPr>
      </w:pPr>
      <w:r w:rsidRPr="007370FD">
        <w:rPr>
          <w:rFonts w:ascii="宋体" w:eastAsia="宋体" w:hAnsi="宋体" w:cs="宋体" w:hint="eastAsia"/>
          <w:sz w:val="18"/>
          <w:szCs w:val="18"/>
        </w:rPr>
        <w:t>经营活动产生的现金流量金额较同期下降39.54%，主要是由于期末受限资金余额较大，导致经营活动现金流出所致；</w:t>
      </w:r>
    </w:p>
    <w:p w:rsidR="008D4B2E" w:rsidRPr="007370FD" w:rsidRDefault="008D4B2E" w:rsidP="007370FD">
      <w:pPr>
        <w:spacing w:before="100" w:after="100" w:line="240" w:lineRule="exact"/>
        <w:divId w:val="5639096"/>
        <w:rPr>
          <w:rFonts w:ascii="宋体" w:eastAsia="宋体" w:hAnsi="宋体" w:cs="宋体"/>
          <w:sz w:val="18"/>
          <w:szCs w:val="18"/>
        </w:rPr>
      </w:pPr>
      <w:r w:rsidRPr="007370FD">
        <w:rPr>
          <w:rFonts w:ascii="宋体" w:eastAsia="宋体" w:hAnsi="宋体" w:cs="宋体" w:hint="eastAsia"/>
          <w:sz w:val="18"/>
          <w:szCs w:val="18"/>
        </w:rPr>
        <w:t>筹资活动现金流出较同期增长35.53%，主要是由于本期偿还借款较多所致；</w:t>
      </w:r>
    </w:p>
    <w:p w:rsidR="008D4B2E" w:rsidRPr="007370FD" w:rsidRDefault="008D4B2E" w:rsidP="007370FD">
      <w:pPr>
        <w:spacing w:before="100" w:after="100" w:line="240" w:lineRule="exact"/>
        <w:divId w:val="5639096"/>
        <w:rPr>
          <w:rFonts w:ascii="宋体" w:eastAsia="宋体" w:hAnsi="宋体" w:cs="宋体"/>
          <w:sz w:val="18"/>
          <w:szCs w:val="18"/>
        </w:rPr>
      </w:pPr>
      <w:r w:rsidRPr="007370FD">
        <w:rPr>
          <w:rFonts w:ascii="宋体" w:eastAsia="宋体" w:hAnsi="宋体" w:cs="宋体" w:hint="eastAsia"/>
          <w:sz w:val="18"/>
          <w:szCs w:val="18"/>
        </w:rPr>
        <w:t>现金及现金等价物净增加额较去年同期下降114.40%，主要是由于经营活动和筹资活动现金流出较多所致。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报告期内公司经营活动产生的现金净流量与本年度净利润存在重大差异的原因说明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7370FD" w:rsidRDefault="008D4B2E" w:rsidP="007370FD">
      <w:pPr>
        <w:spacing w:before="100" w:after="100" w:line="240" w:lineRule="exact"/>
        <w:divId w:val="564679520"/>
        <w:rPr>
          <w:rFonts w:ascii="宋体" w:eastAsia="宋体" w:hAnsi="宋体" w:cs="宋体"/>
          <w:sz w:val="18"/>
          <w:szCs w:val="18"/>
        </w:rPr>
      </w:pPr>
      <w:r w:rsidRPr="007370FD">
        <w:rPr>
          <w:rFonts w:ascii="宋体" w:eastAsia="宋体" w:hAnsi="宋体" w:cs="宋体" w:hint="eastAsia"/>
          <w:sz w:val="18"/>
          <w:szCs w:val="18"/>
        </w:rPr>
        <w:t>详细情况见</w:t>
      </w:r>
      <w:r w:rsidRPr="007370FD">
        <w:rPr>
          <w:rFonts w:ascii="宋体" w:eastAsia="宋体" w:hAnsi="宋体" w:cs="宋体"/>
          <w:sz w:val="18"/>
          <w:szCs w:val="18"/>
        </w:rPr>
        <w:t>“</w:t>
      </w:r>
      <w:r w:rsidRPr="007370FD">
        <w:rPr>
          <w:rFonts w:ascii="宋体" w:eastAsia="宋体" w:hAnsi="宋体" w:cs="宋体" w:hint="eastAsia"/>
          <w:sz w:val="18"/>
          <w:szCs w:val="18"/>
        </w:rPr>
        <w:t>现金流量表补充资料</w:t>
      </w:r>
      <w:r w:rsidRPr="007370FD">
        <w:rPr>
          <w:rFonts w:ascii="宋体" w:eastAsia="宋体" w:hAnsi="宋体" w:cs="宋体"/>
          <w:sz w:val="18"/>
          <w:szCs w:val="18"/>
        </w:rPr>
        <w:t>”</w:t>
      </w:r>
      <w:r w:rsidRPr="007370FD">
        <w:rPr>
          <w:rFonts w:ascii="宋体" w:eastAsia="宋体" w:hAnsi="宋体" w:cs="宋体" w:hint="eastAsia"/>
          <w:sz w:val="18"/>
          <w:szCs w:val="18"/>
        </w:rPr>
        <w:t>。</w:t>
      </w:r>
    </w:p>
    <w:p w:rsidR="00BA0365" w:rsidRDefault="008D4B2E">
      <w:pPr>
        <w:pStyle w:val="2"/>
        <w:spacing w:before="300" w:after="300" w:line="320" w:lineRule="exact"/>
        <w:rPr>
          <w:rFonts w:ascii="宋体" w:eastAsia="宋体" w:hAnsi="宋体" w:cs="宋体"/>
          <w:b/>
          <w:bCs/>
          <w:sz w:val="24"/>
          <w:szCs w:val="24"/>
        </w:rPr>
      </w:pPr>
      <w:bookmarkStart w:id="31" w:name="_Toc988920"/>
      <w:r>
        <w:rPr>
          <w:rFonts w:ascii="宋体" w:eastAsia="宋体" w:hAnsi="宋体" w:cs="宋体"/>
          <w:b/>
          <w:bCs/>
          <w:sz w:val="24"/>
          <w:szCs w:val="24"/>
        </w:rPr>
        <w:t>五、非主营业务分析</w:t>
      </w:r>
      <w:bookmarkEnd w:id="3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84"/>
        <w:gridCol w:w="1559"/>
        <w:gridCol w:w="1560"/>
        <w:gridCol w:w="3402"/>
        <w:gridCol w:w="1734"/>
      </w:tblGrid>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占利润总额比例</w:t>
            </w:r>
          </w:p>
        </w:tc>
        <w:tc>
          <w:tcPr>
            <w:tcW w:w="34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形成原因说明</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是否具有可持续性</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投资收益</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81,225,239.72</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19.75%</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主要系理财收益、股权处置及其他权益工具投资分红</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否</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资产减值</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-100,107,800.90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-24.34%</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主要系订单规模增长，存货跌价准备计提带来的影响</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否</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营业外收入</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2,690,759.36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0.65%</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主要系政府补助收入及罚款收入</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否</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营业外支出</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20,498,497.96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4.98%</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w:t>
            </w:r>
            <w:proofErr w:type="gramStart"/>
            <w:r>
              <w:rPr>
                <w:rFonts w:ascii="宋体" w:eastAsia="宋体" w:hAnsi="宋体" w:cs="宋体"/>
                <w:sz w:val="18"/>
                <w:szCs w:val="18"/>
              </w:rPr>
              <w:t>系资产</w:t>
            </w:r>
            <w:proofErr w:type="gramEnd"/>
            <w:r>
              <w:rPr>
                <w:rFonts w:ascii="宋体" w:eastAsia="宋体" w:hAnsi="宋体" w:cs="宋体"/>
                <w:sz w:val="18"/>
                <w:szCs w:val="18"/>
              </w:rPr>
              <w:t>报废损失和赔偿金</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否</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其他收益</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37,369,532.27</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9.09%</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主要系与企业日常活动相关的政府补助</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信用减值损失</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19,146,358.66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4.66%</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主要系本期回款情况较好，冲回坏账准备所致</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rsidP="001505AE">
            <w:pPr>
              <w:spacing w:line="240" w:lineRule="exact"/>
              <w:jc w:val="right"/>
              <w:rPr>
                <w:rFonts w:ascii="宋体" w:eastAsia="宋体" w:hAnsi="宋体" w:cs="宋体"/>
                <w:sz w:val="18"/>
                <w:szCs w:val="18"/>
              </w:rPr>
            </w:pPr>
            <w:r>
              <w:rPr>
                <w:rFonts w:ascii="宋体" w:eastAsia="宋体" w:hAnsi="宋体" w:cs="宋体"/>
                <w:sz w:val="18"/>
                <w:szCs w:val="18"/>
              </w:rPr>
              <w:t>是</w:t>
            </w:r>
          </w:p>
        </w:tc>
      </w:tr>
    </w:tbl>
    <w:p w:rsidR="00BA0365" w:rsidRDefault="008D4B2E">
      <w:pPr>
        <w:pStyle w:val="2"/>
        <w:spacing w:before="300" w:after="300" w:line="320" w:lineRule="exact"/>
        <w:rPr>
          <w:rFonts w:ascii="宋体" w:eastAsia="宋体" w:hAnsi="宋体" w:cs="宋体"/>
          <w:b/>
          <w:bCs/>
          <w:sz w:val="24"/>
          <w:szCs w:val="24"/>
        </w:rPr>
      </w:pPr>
      <w:bookmarkStart w:id="32" w:name="_Toc988921"/>
      <w:r>
        <w:rPr>
          <w:rFonts w:ascii="宋体" w:eastAsia="宋体" w:hAnsi="宋体" w:cs="宋体"/>
          <w:b/>
          <w:bCs/>
          <w:sz w:val="24"/>
          <w:szCs w:val="24"/>
        </w:rPr>
        <w:t>六、资产及负债状况分析</w:t>
      </w:r>
      <w:bookmarkEnd w:id="32"/>
    </w:p>
    <w:p w:rsidR="00BA0365" w:rsidRDefault="008D4B2E">
      <w:pPr>
        <w:pStyle w:val="3"/>
        <w:spacing w:line="280" w:lineRule="exact"/>
        <w:jc w:val="left"/>
        <w:rPr>
          <w:rFonts w:ascii="宋体" w:hAnsi="宋体" w:cs="宋体"/>
          <w:b/>
          <w:bCs/>
        </w:rPr>
      </w:pPr>
      <w:bookmarkStart w:id="33" w:name="_Toc988922"/>
      <w:r>
        <w:rPr>
          <w:rFonts w:ascii="宋体" w:hAnsi="宋体" w:cs="宋体"/>
          <w:b/>
          <w:bCs/>
        </w:rPr>
        <w:t>1、资产构成重大变动情况</w:t>
      </w:r>
      <w:bookmarkEnd w:id="3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101"/>
        <w:gridCol w:w="1701"/>
        <w:gridCol w:w="850"/>
        <w:gridCol w:w="1701"/>
        <w:gridCol w:w="851"/>
        <w:gridCol w:w="850"/>
        <w:gridCol w:w="2585"/>
      </w:tblGrid>
      <w:tr w:rsidR="00157EA0" w:rsidTr="00832133">
        <w:trPr>
          <w:trHeight w:val="240"/>
        </w:trPr>
        <w:tc>
          <w:tcPr>
            <w:tcW w:w="11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55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2023年末</w:t>
            </w:r>
          </w:p>
        </w:tc>
        <w:tc>
          <w:tcPr>
            <w:tcW w:w="255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2023年初</w:t>
            </w:r>
          </w:p>
        </w:tc>
        <w:tc>
          <w:tcPr>
            <w:tcW w:w="85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比重增减</w:t>
            </w:r>
          </w:p>
        </w:tc>
        <w:tc>
          <w:tcPr>
            <w:tcW w:w="258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重大变动说明</w:t>
            </w:r>
          </w:p>
        </w:tc>
      </w:tr>
      <w:tr w:rsidR="00157EA0" w:rsidTr="00832133">
        <w:trPr>
          <w:trHeight w:val="240"/>
        </w:trPr>
        <w:tc>
          <w:tcPr>
            <w:tcW w:w="11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占总资产比例</w:t>
            </w:r>
          </w:p>
        </w:tc>
        <w:tc>
          <w:tcPr>
            <w:tcW w:w="85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58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2,955,647,872.55</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2,749,149,407.21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-1.51%</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1,165,564,469.53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994,740,356.96</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7.25%</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0.05%</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存货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5,673,274,874.12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35.54%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4,661,226,499.67</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33.96%</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主要是由于</w:t>
            </w:r>
            <w:r w:rsidR="00212B93">
              <w:rPr>
                <w:rFonts w:ascii="宋体" w:eastAsia="宋体" w:hAnsi="宋体" w:cs="宋体" w:hint="eastAsia"/>
                <w:sz w:val="18"/>
                <w:szCs w:val="18"/>
              </w:rPr>
              <w:t>业务</w:t>
            </w:r>
            <w:r>
              <w:rPr>
                <w:rFonts w:ascii="宋体" w:eastAsia="宋体" w:hAnsi="宋体" w:cs="宋体"/>
                <w:sz w:val="18"/>
                <w:szCs w:val="18"/>
              </w:rPr>
              <w:t>规模增长，在</w:t>
            </w:r>
            <w:proofErr w:type="gramStart"/>
            <w:r>
              <w:rPr>
                <w:rFonts w:ascii="宋体" w:eastAsia="宋体" w:hAnsi="宋体" w:cs="宋体"/>
                <w:sz w:val="18"/>
                <w:szCs w:val="18"/>
              </w:rPr>
              <w:t>产项目</w:t>
            </w:r>
            <w:proofErr w:type="gramEnd"/>
            <w:r>
              <w:rPr>
                <w:rFonts w:ascii="宋体" w:eastAsia="宋体" w:hAnsi="宋体" w:cs="宋体"/>
                <w:sz w:val="18"/>
                <w:szCs w:val="18"/>
              </w:rPr>
              <w:t>增多所致。</w:t>
            </w: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投资性房地产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76,210,169.42</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-0.56%</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长期股权投资</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126,164,853.56</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0.92%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-0.12%</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2,221,675,441.56</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2,205,451,294.22</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16.07%</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-2.15%</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0.66%</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主要是子公司新建厂房，在建工程余额增加所致。</w:t>
            </w: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使用权资产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46,236,259.58</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59,690,206.29</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0.43%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-0.14%</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短期借款</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688,978,350.00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429,608,369.35</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1.19%</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主要是由于短期流动性贷款补充所致。</w:t>
            </w: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合同负债</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4,168,545,556.67</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3,158,646,686.84</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23.01%</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3.11%</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主要是由于</w:t>
            </w:r>
            <w:r w:rsidR="00212B93">
              <w:rPr>
                <w:rFonts w:ascii="宋体" w:eastAsia="宋体" w:hAnsi="宋体" w:cs="宋体" w:hint="eastAsia"/>
                <w:sz w:val="18"/>
                <w:szCs w:val="18"/>
              </w:rPr>
              <w:t>业务</w:t>
            </w:r>
            <w:r>
              <w:rPr>
                <w:rFonts w:ascii="宋体" w:eastAsia="宋体" w:hAnsi="宋体" w:cs="宋体"/>
                <w:sz w:val="18"/>
                <w:szCs w:val="18"/>
              </w:rPr>
              <w:t>规模增长，预收客户款项较多所致。</w:t>
            </w:r>
          </w:p>
        </w:tc>
      </w:tr>
      <w:tr w:rsidR="00157EA0" w:rsidTr="00832133">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长期借款</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943,004,370.30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963,612,166.00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租赁负债</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29,234,874.64</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0.18%</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39,775,251.13</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0.29%</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-0.11%</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交易性金融资产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4.07%</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105,052,985.91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0.77%</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3.30%</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主要是由于未到期理财较多所致所致。</w:t>
            </w: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529,018,313.90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3.85%</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主要是质押的大银行银行承兑汇票重分类所致。</w:t>
            </w: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应付票据</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1,242,093,084.11</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7.78%</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1,325,127,570.22</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9.65%</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主要是期末未到期兑付的票据较少。</w:t>
            </w: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预付款项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176,284,198.51</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267,460,070.81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-0.85%</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45,788,981.72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98,744,337.28</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0.72%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-0.43%</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其他非流动资产</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0.63%</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-0.41%</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614C8D">
        <w:trPr>
          <w:trHeight w:val="240"/>
        </w:trPr>
        <w:tc>
          <w:tcPr>
            <w:tcW w:w="1101"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其他流动负债</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565,062,731.97</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365,057,638.20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2.66%</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0.88%</w:t>
            </w:r>
          </w:p>
        </w:tc>
        <w:tc>
          <w:tcPr>
            <w:tcW w:w="25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境外资产</w:t>
      </w:r>
      <w:proofErr w:type="gramStart"/>
      <w:r>
        <w:rPr>
          <w:rFonts w:ascii="宋体" w:eastAsia="宋体" w:hAnsi="宋体" w:cs="宋体"/>
          <w:sz w:val="18"/>
          <w:szCs w:val="18"/>
        </w:rPr>
        <w:t>占比较</w:t>
      </w:r>
      <w:proofErr w:type="gramEnd"/>
      <w:r>
        <w:rPr>
          <w:rFonts w:ascii="宋体" w:eastAsia="宋体" w:hAnsi="宋体" w:cs="宋体"/>
          <w:sz w:val="18"/>
          <w:szCs w:val="18"/>
        </w:rPr>
        <w:t>高</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34" w:name="_Toc988923"/>
      <w:r>
        <w:rPr>
          <w:rFonts w:ascii="宋体" w:hAnsi="宋体" w:cs="宋体"/>
          <w:b/>
          <w:bCs/>
        </w:rPr>
        <w:t>2、以公允价值计量的资产和负债</w:t>
      </w:r>
      <w:bookmarkEnd w:id="3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本期公允价值变动损益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计入权益的累计公允价值变动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本期计提的减值</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本期购买金额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本期出售金额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其他变动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期末数</w:t>
            </w:r>
          </w:p>
        </w:tc>
      </w:tr>
      <w:tr w:rsidR="00157EA0">
        <w:trPr>
          <w:trHeight w:val="240"/>
        </w:trPr>
        <w:tc>
          <w:tcPr>
            <w:tcW w:w="9639" w:type="dxa"/>
            <w:gridSpan w:val="9"/>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金融资产</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1.交易性金融资产（不含衍生金融资产）</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105,052,985.91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2,206,000,000.00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1,656,000,000.00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-5,051,984.91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3.其他债权投资</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252,505,000.00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252,505,000.00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165,616.44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50,165,616.44</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4.其他权益工具投资</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511,329,513.93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-4,910,978.98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24,094,641.50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482,323,893.45</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金融资产小计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868,887,499.84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-4,910,978.98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2,256,000,000.00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1,932,599,641.50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-4,886,368.47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1,182,490,510.89</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529,018,313.90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上述合计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1,397,905,813.74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-4,910,978.98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2,256,000,000.00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1,932,599,641.50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-4,886,368.47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1,359,261,254.80</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金融负债</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其他变动的内容</w:t>
      </w:r>
    </w:p>
    <w:p w:rsidR="008D4B2E" w:rsidRPr="007370FD" w:rsidRDefault="008D4B2E" w:rsidP="007370FD">
      <w:pPr>
        <w:spacing w:before="100" w:after="100" w:line="240" w:lineRule="exact"/>
        <w:divId w:val="410083200"/>
        <w:rPr>
          <w:rFonts w:ascii="宋体" w:eastAsia="宋体" w:hAnsi="宋体" w:cs="宋体"/>
          <w:sz w:val="18"/>
          <w:szCs w:val="18"/>
        </w:rPr>
      </w:pPr>
      <w:r w:rsidRPr="007370FD">
        <w:rPr>
          <w:rFonts w:ascii="宋体" w:eastAsia="宋体" w:hAnsi="宋体" w:cs="宋体" w:hint="eastAsia"/>
          <w:sz w:val="18"/>
          <w:szCs w:val="18"/>
        </w:rPr>
        <w:t>交易性金融资产：为所持有基金清算所致。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报告期内公司主要资产计量属性是否发生重大变化</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3"/>
        <w:spacing w:line="280" w:lineRule="exact"/>
        <w:jc w:val="left"/>
        <w:rPr>
          <w:rFonts w:ascii="宋体" w:hAnsi="宋体" w:cs="宋体"/>
          <w:b/>
          <w:bCs/>
        </w:rPr>
      </w:pPr>
      <w:bookmarkStart w:id="35" w:name="_Toc988924"/>
      <w:r>
        <w:rPr>
          <w:rFonts w:ascii="宋体" w:hAnsi="宋体" w:cs="宋体"/>
          <w:b/>
          <w:bCs/>
        </w:rPr>
        <w:t>3、截至报告期末的资产权利受限情况</w:t>
      </w:r>
      <w:bookmarkEnd w:id="35"/>
    </w:p>
    <w:tbl>
      <w:tblPr>
        <w:tblW w:w="9526" w:type="dxa"/>
        <w:tblCellMar>
          <w:left w:w="0" w:type="dxa"/>
          <w:right w:w="0" w:type="dxa"/>
        </w:tblCellMar>
        <w:tblLook w:val="04A0" w:firstRow="1" w:lastRow="0" w:firstColumn="1" w:lastColumn="0" w:noHBand="0" w:noVBand="1"/>
      </w:tblPr>
      <w:tblGrid>
        <w:gridCol w:w="2888"/>
        <w:gridCol w:w="2793"/>
        <w:gridCol w:w="3845"/>
      </w:tblGrid>
      <w:tr w:rsidR="008D4B2E" w:rsidTr="00832133">
        <w:trPr>
          <w:divId w:val="899748596"/>
          <w:trHeight w:val="360"/>
          <w:tblHeader/>
        </w:trPr>
        <w:tc>
          <w:tcPr>
            <w:tcW w:w="2888" w:type="dxa"/>
            <w:tcBorders>
              <w:top w:val="single" w:sz="8" w:space="0" w:color="auto"/>
              <w:left w:val="single" w:sz="8" w:space="0" w:color="auto"/>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项目</w:t>
            </w:r>
          </w:p>
        </w:tc>
        <w:tc>
          <w:tcPr>
            <w:tcW w:w="2793"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期末账面价值</w:t>
            </w:r>
          </w:p>
        </w:tc>
        <w:tc>
          <w:tcPr>
            <w:tcW w:w="3845"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受限原因</w:t>
            </w:r>
          </w:p>
        </w:tc>
      </w:tr>
      <w:tr w:rsidR="008D4B2E" w:rsidTr="00832133">
        <w:trPr>
          <w:divId w:val="899748596"/>
          <w:trHeight w:val="360"/>
        </w:trPr>
        <w:tc>
          <w:tcPr>
            <w:tcW w:w="2888" w:type="dxa"/>
            <w:tcBorders>
              <w:top w:val="nil"/>
              <w:left w:val="single" w:sz="8" w:space="0" w:color="auto"/>
              <w:bottom w:val="single" w:sz="8" w:space="0" w:color="auto"/>
              <w:right w:val="single" w:sz="8" w:space="0" w:color="auto"/>
            </w:tcBorders>
            <w:shd w:val="clear" w:color="auto" w:fill="D3D3D3"/>
            <w:tcMar>
              <w:top w:w="0" w:type="dxa"/>
              <w:left w:w="28" w:type="dxa"/>
              <w:bottom w:w="0" w:type="dxa"/>
              <w:right w:w="28" w:type="dxa"/>
            </w:tcMa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货币资金</w:t>
            </w:r>
          </w:p>
        </w:tc>
        <w:tc>
          <w:tcPr>
            <w:tcW w:w="2793"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pPr>
              <w:pStyle w:val="a3"/>
              <w:spacing w:before="0" w:beforeAutospacing="0" w:after="0" w:afterAutospacing="0" w:line="400" w:lineRule="atLeast"/>
              <w:jc w:val="right"/>
              <w:rPr>
                <w:kern w:val="2"/>
                <w:sz w:val="18"/>
                <w:szCs w:val="18"/>
              </w:rPr>
            </w:pPr>
            <w:r w:rsidRPr="001505AE">
              <w:rPr>
                <w:kern w:val="2"/>
                <w:sz w:val="18"/>
                <w:szCs w:val="18"/>
              </w:rPr>
              <w:t>1,301,351,336.99</w:t>
            </w:r>
          </w:p>
        </w:tc>
        <w:tc>
          <w:tcPr>
            <w:tcW w:w="3845"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rsidP="001505AE">
            <w:pPr>
              <w:pStyle w:val="a3"/>
              <w:spacing w:before="0" w:beforeAutospacing="0" w:after="0" w:afterAutospacing="0" w:line="400" w:lineRule="atLeast"/>
              <w:jc w:val="right"/>
              <w:rPr>
                <w:rFonts w:cs="Arial"/>
                <w:sz w:val="18"/>
                <w:szCs w:val="18"/>
              </w:rPr>
            </w:pPr>
            <w:r w:rsidRPr="001505AE">
              <w:rPr>
                <w:rFonts w:cs="Arial" w:hint="eastAsia"/>
                <w:sz w:val="18"/>
                <w:szCs w:val="18"/>
              </w:rPr>
              <w:t>保证金和定期存款等</w:t>
            </w:r>
          </w:p>
        </w:tc>
      </w:tr>
      <w:tr w:rsidR="008D4B2E" w:rsidTr="00832133">
        <w:trPr>
          <w:divId w:val="899748596"/>
          <w:trHeight w:val="360"/>
        </w:trPr>
        <w:tc>
          <w:tcPr>
            <w:tcW w:w="2888" w:type="dxa"/>
            <w:tcBorders>
              <w:top w:val="nil"/>
              <w:left w:val="single" w:sz="8" w:space="0" w:color="auto"/>
              <w:bottom w:val="single" w:sz="8" w:space="0" w:color="auto"/>
              <w:right w:val="single" w:sz="8" w:space="0" w:color="auto"/>
            </w:tcBorders>
            <w:shd w:val="clear" w:color="auto" w:fill="D3D3D3"/>
            <w:tcMar>
              <w:top w:w="0" w:type="dxa"/>
              <w:left w:w="28" w:type="dxa"/>
              <w:bottom w:w="0" w:type="dxa"/>
              <w:right w:w="28" w:type="dxa"/>
            </w:tcMa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应收票据</w:t>
            </w:r>
          </w:p>
        </w:tc>
        <w:tc>
          <w:tcPr>
            <w:tcW w:w="2793"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pPr>
              <w:pStyle w:val="a3"/>
              <w:spacing w:before="0" w:beforeAutospacing="0" w:after="0" w:afterAutospacing="0" w:line="400" w:lineRule="atLeast"/>
              <w:jc w:val="right"/>
              <w:rPr>
                <w:kern w:val="2"/>
                <w:sz w:val="18"/>
                <w:szCs w:val="18"/>
              </w:rPr>
            </w:pPr>
            <w:r w:rsidRPr="001505AE">
              <w:rPr>
                <w:kern w:val="2"/>
                <w:sz w:val="18"/>
                <w:szCs w:val="18"/>
              </w:rPr>
              <w:t>455,321,827.13</w:t>
            </w:r>
          </w:p>
        </w:tc>
        <w:tc>
          <w:tcPr>
            <w:tcW w:w="3845"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rsidP="001505AE">
            <w:pPr>
              <w:pStyle w:val="a3"/>
              <w:spacing w:before="0" w:beforeAutospacing="0" w:after="0" w:afterAutospacing="0" w:line="400" w:lineRule="atLeast"/>
              <w:jc w:val="right"/>
              <w:rPr>
                <w:rFonts w:cs="Arial"/>
                <w:sz w:val="18"/>
                <w:szCs w:val="18"/>
              </w:rPr>
            </w:pPr>
            <w:r w:rsidRPr="001505AE">
              <w:rPr>
                <w:rFonts w:cs="Arial"/>
                <w:sz w:val="18"/>
                <w:szCs w:val="18"/>
              </w:rPr>
              <w:t>质押用于开立银行承兑汇票</w:t>
            </w:r>
          </w:p>
        </w:tc>
      </w:tr>
      <w:tr w:rsidR="008D4B2E" w:rsidTr="00832133">
        <w:trPr>
          <w:divId w:val="899748596"/>
          <w:trHeight w:val="360"/>
        </w:trPr>
        <w:tc>
          <w:tcPr>
            <w:tcW w:w="2888" w:type="dxa"/>
            <w:tcBorders>
              <w:top w:val="nil"/>
              <w:left w:val="single" w:sz="8" w:space="0" w:color="auto"/>
              <w:bottom w:val="single" w:sz="8" w:space="0" w:color="auto"/>
              <w:right w:val="single" w:sz="8" w:space="0" w:color="auto"/>
            </w:tcBorders>
            <w:shd w:val="clear" w:color="auto" w:fill="D3D3D3"/>
            <w:tcMar>
              <w:top w:w="0" w:type="dxa"/>
              <w:left w:w="28" w:type="dxa"/>
              <w:bottom w:w="0" w:type="dxa"/>
              <w:right w:w="28" w:type="dxa"/>
            </w:tcMa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固定资产</w:t>
            </w:r>
          </w:p>
        </w:tc>
        <w:tc>
          <w:tcPr>
            <w:tcW w:w="2793"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pPr>
              <w:pStyle w:val="a3"/>
              <w:spacing w:before="0" w:beforeAutospacing="0" w:after="0" w:afterAutospacing="0" w:line="400" w:lineRule="atLeast"/>
              <w:jc w:val="right"/>
              <w:rPr>
                <w:kern w:val="2"/>
                <w:sz w:val="18"/>
                <w:szCs w:val="18"/>
              </w:rPr>
            </w:pPr>
            <w:r w:rsidRPr="001505AE">
              <w:rPr>
                <w:kern w:val="2"/>
                <w:sz w:val="18"/>
                <w:szCs w:val="18"/>
              </w:rPr>
              <w:t>138,289,971.48</w:t>
            </w:r>
          </w:p>
        </w:tc>
        <w:tc>
          <w:tcPr>
            <w:tcW w:w="3845"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rsidP="001505AE">
            <w:pPr>
              <w:pStyle w:val="a3"/>
              <w:spacing w:before="0" w:beforeAutospacing="0" w:after="0" w:afterAutospacing="0" w:line="400" w:lineRule="atLeast"/>
              <w:jc w:val="right"/>
              <w:rPr>
                <w:rFonts w:cs="Arial"/>
                <w:sz w:val="18"/>
                <w:szCs w:val="18"/>
              </w:rPr>
            </w:pPr>
            <w:r w:rsidRPr="001505AE">
              <w:rPr>
                <w:rFonts w:cs="Arial" w:hint="eastAsia"/>
                <w:sz w:val="18"/>
                <w:szCs w:val="18"/>
              </w:rPr>
              <w:t>抵押用于取得银行借款</w:t>
            </w:r>
          </w:p>
        </w:tc>
      </w:tr>
      <w:tr w:rsidR="008D4B2E" w:rsidTr="00832133">
        <w:trPr>
          <w:divId w:val="899748596"/>
          <w:trHeight w:val="360"/>
        </w:trPr>
        <w:tc>
          <w:tcPr>
            <w:tcW w:w="2888" w:type="dxa"/>
            <w:tcBorders>
              <w:top w:val="nil"/>
              <w:left w:val="single" w:sz="8" w:space="0" w:color="auto"/>
              <w:bottom w:val="single" w:sz="8" w:space="0" w:color="auto"/>
              <w:right w:val="single" w:sz="8" w:space="0" w:color="auto"/>
            </w:tcBorders>
            <w:shd w:val="clear" w:color="auto" w:fill="D3D3D3"/>
            <w:tcMar>
              <w:top w:w="0" w:type="dxa"/>
              <w:left w:w="28" w:type="dxa"/>
              <w:bottom w:w="0" w:type="dxa"/>
              <w:right w:w="28" w:type="dxa"/>
            </w:tcMa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无形资产</w:t>
            </w:r>
          </w:p>
        </w:tc>
        <w:tc>
          <w:tcPr>
            <w:tcW w:w="2793"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pPr>
              <w:pStyle w:val="a3"/>
              <w:spacing w:before="0" w:beforeAutospacing="0" w:after="0" w:afterAutospacing="0" w:line="400" w:lineRule="atLeast"/>
              <w:jc w:val="right"/>
              <w:rPr>
                <w:kern w:val="2"/>
                <w:sz w:val="18"/>
                <w:szCs w:val="18"/>
              </w:rPr>
            </w:pPr>
            <w:r w:rsidRPr="001505AE">
              <w:rPr>
                <w:kern w:val="2"/>
                <w:sz w:val="18"/>
                <w:szCs w:val="18"/>
              </w:rPr>
              <w:t>169,389,611.97</w:t>
            </w:r>
          </w:p>
        </w:tc>
        <w:tc>
          <w:tcPr>
            <w:tcW w:w="3845" w:type="dxa"/>
            <w:tcBorders>
              <w:top w:val="nil"/>
              <w:left w:val="nil"/>
              <w:bottom w:val="single" w:sz="8" w:space="0" w:color="auto"/>
              <w:right w:val="single" w:sz="8" w:space="0" w:color="auto"/>
            </w:tcBorders>
            <w:tcMar>
              <w:top w:w="0" w:type="dxa"/>
              <w:left w:w="28" w:type="dxa"/>
              <w:bottom w:w="0" w:type="dxa"/>
              <w:right w:w="28" w:type="dxa"/>
            </w:tcMar>
            <w:hideMark/>
          </w:tcPr>
          <w:p w:rsidR="008D4B2E" w:rsidRPr="001505AE" w:rsidRDefault="008D4B2E" w:rsidP="001505AE">
            <w:pPr>
              <w:pStyle w:val="a3"/>
              <w:spacing w:before="0" w:beforeAutospacing="0" w:after="0" w:afterAutospacing="0" w:line="400" w:lineRule="atLeast"/>
              <w:jc w:val="right"/>
              <w:rPr>
                <w:rFonts w:cs="Arial"/>
                <w:sz w:val="18"/>
                <w:szCs w:val="18"/>
              </w:rPr>
            </w:pPr>
            <w:r w:rsidRPr="001505AE">
              <w:rPr>
                <w:rFonts w:cs="Arial"/>
                <w:sz w:val="18"/>
                <w:szCs w:val="18"/>
              </w:rPr>
              <w:t>抵押用于取得银行借款</w:t>
            </w:r>
          </w:p>
        </w:tc>
      </w:tr>
      <w:tr w:rsidR="008D4B2E" w:rsidTr="00832133">
        <w:trPr>
          <w:divId w:val="899748596"/>
          <w:trHeight w:val="360"/>
        </w:trPr>
        <w:tc>
          <w:tcPr>
            <w:tcW w:w="2888" w:type="dxa"/>
            <w:tcBorders>
              <w:top w:val="nil"/>
              <w:left w:val="single" w:sz="8" w:space="0" w:color="auto"/>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832133" w:rsidRDefault="008D4B2E" w:rsidP="00832133">
            <w:pPr>
              <w:spacing w:before="40" w:after="40" w:line="240" w:lineRule="exact"/>
              <w:jc w:val="center"/>
              <w:rPr>
                <w:rFonts w:ascii="宋体" w:eastAsia="宋体" w:hAnsi="宋体" w:cs="宋体"/>
                <w:sz w:val="18"/>
                <w:szCs w:val="18"/>
              </w:rPr>
            </w:pPr>
            <w:r w:rsidRPr="00832133">
              <w:rPr>
                <w:rFonts w:ascii="宋体" w:eastAsia="宋体" w:hAnsi="宋体" w:cs="宋体" w:hint="eastAsia"/>
                <w:sz w:val="18"/>
                <w:szCs w:val="18"/>
              </w:rPr>
              <w:t>合计</w:t>
            </w:r>
          </w:p>
        </w:tc>
        <w:tc>
          <w:tcPr>
            <w:tcW w:w="279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1505AE" w:rsidRDefault="008D4B2E">
            <w:pPr>
              <w:pStyle w:val="a3"/>
              <w:spacing w:before="0" w:beforeAutospacing="0" w:after="0" w:afterAutospacing="0" w:line="400" w:lineRule="atLeast"/>
              <w:jc w:val="right"/>
              <w:rPr>
                <w:kern w:val="2"/>
                <w:sz w:val="18"/>
                <w:szCs w:val="18"/>
              </w:rPr>
            </w:pPr>
            <w:r w:rsidRPr="001505AE">
              <w:rPr>
                <w:kern w:val="2"/>
                <w:sz w:val="18"/>
                <w:szCs w:val="18"/>
              </w:rPr>
              <w:t>2,064,352,747.57</w:t>
            </w:r>
          </w:p>
        </w:tc>
        <w:tc>
          <w:tcPr>
            <w:tcW w:w="3845" w:type="dxa"/>
            <w:tcBorders>
              <w:top w:val="nil"/>
              <w:left w:val="nil"/>
              <w:bottom w:val="single" w:sz="8" w:space="0" w:color="auto"/>
              <w:right w:val="single" w:sz="8" w:space="0" w:color="auto"/>
            </w:tcBorders>
            <w:tcMar>
              <w:top w:w="0" w:type="dxa"/>
              <w:left w:w="28" w:type="dxa"/>
              <w:bottom w:w="0" w:type="dxa"/>
              <w:right w:w="28" w:type="dxa"/>
            </w:tcMar>
            <w:hideMark/>
          </w:tcPr>
          <w:p w:rsidR="008D4B2E" w:rsidRDefault="008D4B2E">
            <w:pPr>
              <w:pStyle w:val="a3"/>
              <w:spacing w:before="0" w:beforeAutospacing="0" w:after="0" w:afterAutospacing="0" w:line="400" w:lineRule="atLeast"/>
              <w:jc w:val="both"/>
              <w:rPr>
                <w:rFonts w:ascii="Arial" w:hAnsi="Arial" w:cs="Arial"/>
                <w:sz w:val="20"/>
                <w:szCs w:val="20"/>
              </w:rPr>
            </w:pPr>
            <w:r>
              <w:rPr>
                <w:rStyle w:val="a4"/>
                <w:rFonts w:ascii="Arial" w:hAnsi="Arial" w:cs="Arial"/>
                <w:sz w:val="20"/>
                <w:szCs w:val="20"/>
              </w:rPr>
              <w:t> </w:t>
            </w:r>
          </w:p>
        </w:tc>
      </w:tr>
    </w:tbl>
    <w:p w:rsidR="00BA0365" w:rsidRDefault="008D4B2E">
      <w:pPr>
        <w:pStyle w:val="2"/>
        <w:spacing w:before="300" w:after="300" w:line="320" w:lineRule="exact"/>
        <w:rPr>
          <w:rFonts w:ascii="宋体" w:eastAsia="宋体" w:hAnsi="宋体" w:cs="宋体"/>
          <w:b/>
          <w:bCs/>
          <w:sz w:val="24"/>
          <w:szCs w:val="24"/>
        </w:rPr>
      </w:pPr>
      <w:bookmarkStart w:id="36" w:name="_Toc988925"/>
      <w:r>
        <w:rPr>
          <w:rFonts w:ascii="宋体" w:eastAsia="宋体" w:hAnsi="宋体" w:cs="宋体"/>
          <w:b/>
          <w:bCs/>
          <w:sz w:val="24"/>
          <w:szCs w:val="24"/>
        </w:rPr>
        <w:t>七、投资状况分析</w:t>
      </w:r>
      <w:bookmarkEnd w:id="36"/>
    </w:p>
    <w:p w:rsidR="00BA0365" w:rsidRDefault="008D4B2E">
      <w:pPr>
        <w:pStyle w:val="3"/>
        <w:spacing w:line="280" w:lineRule="exact"/>
        <w:jc w:val="left"/>
        <w:rPr>
          <w:rFonts w:ascii="宋体" w:hAnsi="宋体" w:cs="宋体"/>
          <w:b/>
          <w:bCs/>
        </w:rPr>
      </w:pPr>
      <w:bookmarkStart w:id="37" w:name="_Toc988926"/>
      <w:r>
        <w:rPr>
          <w:rFonts w:ascii="宋体" w:hAnsi="宋体" w:cs="宋体"/>
          <w:b/>
          <w:bCs/>
        </w:rPr>
        <w:t>1、总体情况</w:t>
      </w:r>
      <w:bookmarkEnd w:id="3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上年同期投资额（元）</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变动幅度</w:t>
            </w:r>
          </w:p>
        </w:tc>
      </w:tr>
      <w:tr w:rsidR="00157EA0" w:rsidTr="00832133">
        <w:trPr>
          <w:trHeight w:val="334"/>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363,891,235.78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781,450,000.00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-53.43%</w:t>
            </w:r>
          </w:p>
        </w:tc>
      </w:tr>
    </w:tbl>
    <w:p w:rsidR="00BA0365" w:rsidRDefault="008D4B2E">
      <w:pPr>
        <w:pStyle w:val="3"/>
        <w:spacing w:line="280" w:lineRule="exact"/>
        <w:jc w:val="left"/>
        <w:rPr>
          <w:rFonts w:ascii="宋体" w:hAnsi="宋体" w:cs="宋体"/>
          <w:b/>
          <w:bCs/>
        </w:rPr>
      </w:pPr>
      <w:bookmarkStart w:id="38" w:name="_Toc988927"/>
      <w:r>
        <w:rPr>
          <w:rFonts w:ascii="宋体" w:hAnsi="宋体" w:cs="宋体"/>
          <w:b/>
          <w:bCs/>
        </w:rPr>
        <w:t>2、报告期内获取的重大的股权投资情况</w:t>
      </w:r>
      <w:bookmarkEnd w:id="3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817"/>
        <w:gridCol w:w="709"/>
        <w:gridCol w:w="425"/>
        <w:gridCol w:w="709"/>
        <w:gridCol w:w="850"/>
        <w:gridCol w:w="567"/>
        <w:gridCol w:w="567"/>
        <w:gridCol w:w="567"/>
        <w:gridCol w:w="426"/>
        <w:gridCol w:w="708"/>
        <w:gridCol w:w="426"/>
        <w:gridCol w:w="567"/>
        <w:gridCol w:w="425"/>
        <w:gridCol w:w="850"/>
        <w:gridCol w:w="1026"/>
      </w:tblGrid>
      <w:tr w:rsidR="00157EA0" w:rsidTr="00595F61">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被投资公司名称</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主要业务</w:t>
            </w:r>
          </w:p>
        </w:tc>
        <w:tc>
          <w:tcPr>
            <w:tcW w:w="42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投资方式</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投资金额</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资金来源</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合作方</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投资期限</w:t>
            </w:r>
          </w:p>
        </w:tc>
        <w:tc>
          <w:tcPr>
            <w:tcW w:w="4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产品类型</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截至资产负债表日的进展情况</w:t>
            </w:r>
          </w:p>
        </w:tc>
        <w:tc>
          <w:tcPr>
            <w:tcW w:w="4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预计收益</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本期投资盈亏</w:t>
            </w:r>
          </w:p>
        </w:tc>
        <w:tc>
          <w:tcPr>
            <w:tcW w:w="42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是否涉诉</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披露日期（如有）</w:t>
            </w:r>
          </w:p>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披露索引（如有）</w:t>
            </w:r>
          </w:p>
        </w:tc>
      </w:tr>
      <w:tr w:rsidR="00157EA0" w:rsidTr="00595F61">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软控（诸暨）智能装备有限公司</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同营业执照的“营业范围”</w:t>
            </w:r>
          </w:p>
        </w:tc>
        <w:tc>
          <w:tcPr>
            <w:tcW w:w="4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收购</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192,090,000.00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自有资金</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长期</w:t>
            </w:r>
          </w:p>
        </w:tc>
        <w:tc>
          <w:tcPr>
            <w:tcW w:w="4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已完成</w:t>
            </w:r>
          </w:p>
        </w:tc>
        <w:tc>
          <w:tcPr>
            <w:tcW w:w="4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-846,176.81</w:t>
            </w:r>
          </w:p>
        </w:tc>
        <w:tc>
          <w:tcPr>
            <w:tcW w:w="4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2023年12月02日</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2023-073《关于购买控股子公司股权的公告》</w:t>
            </w:r>
          </w:p>
        </w:tc>
      </w:tr>
      <w:tr w:rsidR="00157EA0" w:rsidTr="00595F61">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软控联合</w:t>
            </w:r>
            <w:proofErr w:type="gramEnd"/>
            <w:r>
              <w:rPr>
                <w:rFonts w:ascii="宋体" w:eastAsia="宋体" w:hAnsi="宋体" w:cs="宋体"/>
                <w:sz w:val="18"/>
                <w:szCs w:val="18"/>
              </w:rPr>
              <w:t>科技有限公司</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同营业执照的“营业范围”</w:t>
            </w:r>
          </w:p>
        </w:tc>
        <w:tc>
          <w:tcPr>
            <w:tcW w:w="4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增资</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自有资金</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长期</w:t>
            </w:r>
          </w:p>
        </w:tc>
        <w:tc>
          <w:tcPr>
            <w:tcW w:w="4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已完成</w:t>
            </w:r>
          </w:p>
        </w:tc>
        <w:tc>
          <w:tcPr>
            <w:tcW w:w="4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32,979,570.59</w:t>
            </w:r>
          </w:p>
        </w:tc>
        <w:tc>
          <w:tcPr>
            <w:tcW w:w="42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2023年06月30日</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2023-034《关于对全资子公司增资的公告》</w:t>
            </w:r>
          </w:p>
        </w:tc>
      </w:tr>
      <w:tr w:rsidR="00157EA0" w:rsidTr="00595F61">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42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292,090,00</w:t>
            </w:r>
            <w:r>
              <w:rPr>
                <w:rFonts w:ascii="宋体" w:eastAsia="宋体" w:hAnsi="宋体" w:cs="宋体"/>
                <w:sz w:val="18"/>
                <w:szCs w:val="18"/>
              </w:rPr>
              <w:lastRenderedPageBreak/>
              <w:t>0.00</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4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32,133</w:t>
            </w:r>
            <w:r>
              <w:rPr>
                <w:rFonts w:ascii="宋体" w:eastAsia="宋体" w:hAnsi="宋体" w:cs="宋体"/>
                <w:sz w:val="18"/>
                <w:szCs w:val="18"/>
              </w:rPr>
              <w:lastRenderedPageBreak/>
              <w:t>,393.78</w:t>
            </w:r>
          </w:p>
        </w:tc>
        <w:tc>
          <w:tcPr>
            <w:tcW w:w="42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pStyle w:val="3"/>
        <w:spacing w:line="280" w:lineRule="exact"/>
        <w:jc w:val="left"/>
        <w:rPr>
          <w:rFonts w:ascii="宋体" w:hAnsi="宋体" w:cs="宋体"/>
          <w:b/>
          <w:bCs/>
        </w:rPr>
      </w:pPr>
      <w:bookmarkStart w:id="39" w:name="_Toc988928"/>
      <w:r>
        <w:rPr>
          <w:rFonts w:ascii="宋体" w:hAnsi="宋体" w:cs="宋体"/>
          <w:b/>
          <w:bCs/>
        </w:rPr>
        <w:lastRenderedPageBreak/>
        <w:t>3、报告期内正在进行的重大的非股权投资情况</w:t>
      </w:r>
      <w:bookmarkEnd w:id="3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40" w:name="_Toc988929"/>
      <w:r>
        <w:rPr>
          <w:rFonts w:ascii="宋体" w:hAnsi="宋体" w:cs="宋体"/>
          <w:b/>
          <w:bCs/>
        </w:rPr>
        <w:t>4、金融资产投资</w:t>
      </w:r>
      <w:bookmarkEnd w:id="40"/>
    </w:p>
    <w:p w:rsidR="00BA0365" w:rsidRDefault="008D4B2E">
      <w:pPr>
        <w:keepNext/>
        <w:keepLines/>
        <w:spacing w:before="300" w:after="300" w:line="280" w:lineRule="exact"/>
        <w:outlineLvl w:val="3"/>
        <w:rPr>
          <w:rFonts w:ascii="宋体" w:eastAsia="宋体" w:hAnsi="宋体" w:cs="宋体"/>
          <w:b/>
          <w:bCs/>
          <w:sz w:val="18"/>
          <w:szCs w:val="18"/>
        </w:rPr>
      </w:pPr>
      <w:bookmarkStart w:id="41" w:name="_Toc988930"/>
      <w:r>
        <w:rPr>
          <w:rFonts w:ascii="宋体" w:eastAsia="宋体" w:hAnsi="宋体" w:cs="宋体"/>
          <w:b/>
          <w:bCs/>
          <w:sz w:val="18"/>
          <w:szCs w:val="18"/>
        </w:rPr>
        <w:t>（1） 证券投资情况</w:t>
      </w:r>
      <w:bookmarkEnd w:id="4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公司报告期不存在证券投资。</w:t>
      </w:r>
    </w:p>
    <w:p w:rsidR="00BA0365" w:rsidRDefault="008D4B2E">
      <w:pPr>
        <w:keepNext/>
        <w:keepLines/>
        <w:spacing w:before="300" w:after="300" w:line="280" w:lineRule="exact"/>
        <w:outlineLvl w:val="3"/>
        <w:rPr>
          <w:rFonts w:ascii="宋体" w:eastAsia="宋体" w:hAnsi="宋体" w:cs="宋体"/>
          <w:b/>
          <w:bCs/>
          <w:sz w:val="18"/>
          <w:szCs w:val="18"/>
        </w:rPr>
      </w:pPr>
      <w:bookmarkStart w:id="42" w:name="_Toc988931"/>
      <w:r>
        <w:rPr>
          <w:rFonts w:ascii="宋体" w:eastAsia="宋体" w:hAnsi="宋体" w:cs="宋体"/>
          <w:b/>
          <w:bCs/>
          <w:sz w:val="18"/>
          <w:szCs w:val="18"/>
        </w:rPr>
        <w:t>（2） 衍生</w:t>
      </w:r>
      <w:proofErr w:type="gramStart"/>
      <w:r>
        <w:rPr>
          <w:rFonts w:ascii="宋体" w:eastAsia="宋体" w:hAnsi="宋体" w:cs="宋体"/>
          <w:b/>
          <w:bCs/>
          <w:sz w:val="18"/>
          <w:szCs w:val="18"/>
        </w:rPr>
        <w:t>品投资</w:t>
      </w:r>
      <w:proofErr w:type="gramEnd"/>
      <w:r>
        <w:rPr>
          <w:rFonts w:ascii="宋体" w:eastAsia="宋体" w:hAnsi="宋体" w:cs="宋体"/>
          <w:b/>
          <w:bCs/>
          <w:sz w:val="18"/>
          <w:szCs w:val="18"/>
        </w:rPr>
        <w:t>情况</w:t>
      </w:r>
      <w:bookmarkEnd w:id="4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公司报告期不存在衍生品投资。</w:t>
      </w:r>
    </w:p>
    <w:p w:rsidR="00BA0365" w:rsidRDefault="008D4B2E">
      <w:pPr>
        <w:pStyle w:val="3"/>
        <w:spacing w:line="280" w:lineRule="exact"/>
        <w:jc w:val="left"/>
        <w:rPr>
          <w:rFonts w:ascii="宋体" w:hAnsi="宋体" w:cs="宋体"/>
          <w:b/>
          <w:bCs/>
        </w:rPr>
      </w:pPr>
      <w:bookmarkStart w:id="43" w:name="_Toc988932"/>
      <w:r>
        <w:rPr>
          <w:rFonts w:ascii="宋体" w:hAnsi="宋体" w:cs="宋体"/>
          <w:b/>
          <w:bCs/>
        </w:rPr>
        <w:t>5、募集资金使用情况</w:t>
      </w:r>
      <w:bookmarkEnd w:id="4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44" w:name="_Toc988933"/>
      <w:r>
        <w:rPr>
          <w:rFonts w:ascii="宋体" w:eastAsia="宋体" w:hAnsi="宋体" w:cs="宋体"/>
          <w:b/>
          <w:bCs/>
          <w:sz w:val="18"/>
          <w:szCs w:val="18"/>
        </w:rPr>
        <w:t>（1） 募集资金总体使用情况</w:t>
      </w:r>
      <w:bookmarkEnd w:id="4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Layout w:type="fixed"/>
        <w:tblLook w:val="04A0" w:firstRow="1" w:lastRow="0" w:firstColumn="1" w:lastColumn="0" w:noHBand="0" w:noVBand="1"/>
      </w:tblPr>
      <w:tblGrid>
        <w:gridCol w:w="803"/>
        <w:gridCol w:w="803"/>
        <w:gridCol w:w="803"/>
        <w:gridCol w:w="803"/>
        <w:gridCol w:w="803"/>
        <w:gridCol w:w="803"/>
        <w:gridCol w:w="803"/>
        <w:gridCol w:w="803"/>
        <w:gridCol w:w="803"/>
        <w:gridCol w:w="803"/>
        <w:gridCol w:w="803"/>
        <w:gridCol w:w="806"/>
      </w:tblGrid>
      <w:tr w:rsidR="00157EA0">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募集年份</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募集方式</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募集资金净额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本期已使用募集资金总额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已累计使用募集资金总额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报告期内变更用途的募集资金总额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累计变更用途的募集资金总额比例</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尚未使用募集资金总额</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尚未使用募集资金用途及去向</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闲置两年以上募集资金金额</w:t>
            </w:r>
          </w:p>
        </w:tc>
      </w:tr>
      <w:tr w:rsidR="00157EA0">
        <w:trPr>
          <w:trHeight w:val="240"/>
        </w:trPr>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2016年</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非公开发行A股股票</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126,894.37</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29,091.45</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127,809.33</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122,154.94</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96.27%</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7,548.13</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全部存放于募集资金专户中</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7,548.13</w:t>
            </w:r>
          </w:p>
        </w:tc>
      </w:tr>
      <w:tr w:rsidR="00157EA0">
        <w:trPr>
          <w:trHeight w:val="240"/>
        </w:trPr>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126,894.37</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29,091.45</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127,809.33</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122,154.94</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96.27%</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7,548.13</w:t>
            </w:r>
          </w:p>
        </w:tc>
        <w:tc>
          <w:tcPr>
            <w:tcW w:w="8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7,548.13</w:t>
            </w:r>
          </w:p>
        </w:tc>
      </w:tr>
      <w:tr w:rsidR="00157EA0">
        <w:trPr>
          <w:trHeight w:val="240"/>
        </w:trPr>
        <w:tc>
          <w:tcPr>
            <w:tcW w:w="9639"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募集资金总体使用情况说明</w:t>
            </w:r>
          </w:p>
        </w:tc>
      </w:tr>
      <w:tr w:rsidR="00157EA0">
        <w:trPr>
          <w:trHeight w:val="240"/>
        </w:trPr>
        <w:tc>
          <w:tcPr>
            <w:tcW w:w="9639" w:type="dxa"/>
            <w:gridSpan w:val="12"/>
            <w:tcBorders>
              <w:top w:val="single" w:sz="2" w:space="0" w:color="auto"/>
              <w:left w:val="single" w:sz="2" w:space="0" w:color="auto"/>
              <w:bottom w:val="single" w:sz="2" w:space="0" w:color="auto"/>
              <w:right w:val="single" w:sz="2" w:space="0" w:color="auto"/>
            </w:tcBorders>
            <w:vAlign w:val="center"/>
          </w:tcPr>
          <w:p w:rsidR="00BA0365" w:rsidRDefault="008D4B2E" w:rsidP="007370FD">
            <w:pPr>
              <w:pStyle w:val="a3"/>
              <w:spacing w:before="40" w:beforeAutospacing="0" w:after="40" w:afterAutospacing="0"/>
              <w:ind w:firstLine="360"/>
              <w:rPr>
                <w:sz w:val="18"/>
                <w:szCs w:val="18"/>
              </w:rPr>
            </w:pPr>
            <w:r>
              <w:rPr>
                <w:sz w:val="18"/>
                <w:szCs w:val="18"/>
              </w:rPr>
              <w:t xml:space="preserve">    根据中国证券监督管理委员会2016年6月22日《关于核准软控股份有限公司非公开发行股票的批复》（证监许可[2016]1367号），公司获准非公开发行人民币普通股（A股）股票总数不超过127,000,000股。公司实际非公开发行人民币普通股（A股）股票123,198,417股，每股面值1元，发行价为每股10.30元，募集资金总额为人民币1,268,943,695.10元，扣除含税发行费用23,123,198.42元后，募集资金净额为人民币1,245,820,496.68元。其中，计入股本人民币123,198,417.00元，其他股本溢价计入资本公积人民币1,122,622,079.68元。上述募集资金已于2016年10月11日全部到位，已经中兴华会计师事务所(特殊普通合伙)验证，并由其出具“中兴华验字[2016]第SD03-0011号”验资报告，本公司对募集资金已采取了专项账户存储管理。</w:t>
            </w:r>
          </w:p>
          <w:p w:rsidR="007370FD" w:rsidRDefault="008D4B2E" w:rsidP="007370FD">
            <w:pPr>
              <w:pStyle w:val="a3"/>
              <w:spacing w:before="40" w:beforeAutospacing="0" w:after="40" w:afterAutospacing="0"/>
              <w:ind w:firstLine="360"/>
              <w:rPr>
                <w:sz w:val="18"/>
                <w:szCs w:val="18"/>
              </w:rPr>
            </w:pPr>
            <w:r>
              <w:rPr>
                <w:sz w:val="18"/>
                <w:szCs w:val="18"/>
              </w:rPr>
              <w:t xml:space="preserve">    公司于2023年8月28日召开第八届董事会第十一次会议和第八届监事会第十三次会议,分别审议通过了《关于使用部分暂时闲置募集资金进行现金管理及追认使用部分闲置募集资金进行现金管理的议案》,同意公司及子公司使用不超过15,000万元（含本数）暂时闲置募集资金进行现金管理，购买安全性高、流动性好、风险较低、能够提供保本承诺的具有合法经营资格的金融机构销售的理财类产品或存款类产品，投资期限为自公司董事会审议通过之日起不超</w:t>
            </w:r>
            <w:r>
              <w:rPr>
                <w:sz w:val="18"/>
                <w:szCs w:val="18"/>
              </w:rPr>
              <w:lastRenderedPageBreak/>
              <w:t>过12个月。在上述额度和期限内，资金可以滚动使用，并对前次超过授权期限使用暂时闲置募集资金现金管理的情况进行了追认。</w:t>
            </w:r>
          </w:p>
          <w:p w:rsidR="00BA0365" w:rsidRDefault="008D4B2E" w:rsidP="007370FD">
            <w:pPr>
              <w:pStyle w:val="a3"/>
              <w:spacing w:before="40" w:beforeAutospacing="0" w:after="40" w:afterAutospacing="0"/>
              <w:ind w:firstLine="360"/>
              <w:rPr>
                <w:sz w:val="18"/>
                <w:szCs w:val="18"/>
              </w:rPr>
            </w:pPr>
            <w:r>
              <w:rPr>
                <w:sz w:val="18"/>
                <w:szCs w:val="18"/>
              </w:rPr>
              <w:t>截至2023年12月31日，本年度已投入募集资金总额为29,091.45万元，已累计投入募集资金总额为127,809.33万元。</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45" w:name="_Toc988934"/>
      <w:r>
        <w:rPr>
          <w:rFonts w:ascii="宋体" w:eastAsia="宋体" w:hAnsi="宋体" w:cs="宋体"/>
          <w:b/>
          <w:bCs/>
          <w:sz w:val="18"/>
          <w:szCs w:val="18"/>
        </w:rPr>
        <w:lastRenderedPageBreak/>
        <w:t>（2） 募集资金承诺项目情况</w:t>
      </w:r>
      <w:bookmarkEnd w:id="4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Layout w:type="fixed"/>
        <w:tblLook w:val="04A0" w:firstRow="1" w:lastRow="0" w:firstColumn="1" w:lastColumn="0" w:noHBand="0" w:noVBand="1"/>
      </w:tblPr>
      <w:tblGrid>
        <w:gridCol w:w="959"/>
        <w:gridCol w:w="793"/>
        <w:gridCol w:w="876"/>
        <w:gridCol w:w="876"/>
        <w:gridCol w:w="876"/>
        <w:gridCol w:w="876"/>
        <w:gridCol w:w="876"/>
        <w:gridCol w:w="876"/>
        <w:gridCol w:w="876"/>
        <w:gridCol w:w="876"/>
        <w:gridCol w:w="879"/>
      </w:tblGrid>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承诺投资项目和超募资金投向</w:t>
            </w:r>
          </w:p>
        </w:tc>
        <w:tc>
          <w:tcPr>
            <w:tcW w:w="7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是否已变更项目（含部分变更）</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募集资金承诺投资总额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调整后投资总额（1）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本报告期投入金额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截至期末累计投入金额（2）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截至期末投资进度(3)＝(2)/(1)</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项目达到预定可使用状态日期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w:t>
            </w:r>
            <w:proofErr w:type="gramStart"/>
            <w:r>
              <w:rPr>
                <w:rFonts w:ascii="宋体" w:eastAsia="宋体" w:hAnsi="宋体" w:cs="宋体"/>
                <w:sz w:val="18"/>
                <w:szCs w:val="18"/>
              </w:rPr>
              <w:t>期实现</w:t>
            </w:r>
            <w:proofErr w:type="gramEnd"/>
            <w:r>
              <w:rPr>
                <w:rFonts w:ascii="宋体" w:eastAsia="宋体" w:hAnsi="宋体" w:cs="宋体"/>
                <w:sz w:val="18"/>
                <w:szCs w:val="18"/>
              </w:rPr>
              <w:t>的效益</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是否达到预计效益</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项目可行性是否发生重大变化</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承诺投资项目</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轮胎装备智能制造基地</w:t>
            </w:r>
          </w:p>
        </w:tc>
        <w:tc>
          <w:tcPr>
            <w:tcW w:w="793"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48,956.62</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vMerge w:val="restart"/>
            <w:tcBorders>
              <w:top w:val="single" w:sz="2" w:space="0" w:color="auto"/>
              <w:left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sidRPr="00E47B53">
              <w:rPr>
                <w:rFonts w:ascii="宋体" w:eastAsia="宋体" w:hAnsi="宋体" w:cs="宋体" w:hint="eastAsia"/>
                <w:sz w:val="18"/>
                <w:szCs w:val="18"/>
              </w:rPr>
              <w:t>91,090.00（该金额为终止的两个</w:t>
            </w:r>
            <w:proofErr w:type="gramStart"/>
            <w:r w:rsidRPr="00E47B53">
              <w:rPr>
                <w:rFonts w:ascii="宋体" w:eastAsia="宋体" w:hAnsi="宋体" w:cs="宋体" w:hint="eastAsia"/>
                <w:sz w:val="18"/>
                <w:szCs w:val="18"/>
              </w:rPr>
              <w:t>募投项目</w:t>
            </w:r>
            <w:proofErr w:type="gramEnd"/>
            <w:r w:rsidRPr="00E47B53">
              <w:rPr>
                <w:rFonts w:ascii="宋体" w:eastAsia="宋体" w:hAnsi="宋体" w:cs="宋体" w:hint="eastAsia"/>
                <w:sz w:val="18"/>
                <w:szCs w:val="18"/>
              </w:rPr>
              <w:t>合计85,959.26万元及所形成的利息收入、理财收入）</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工业及服务机器人、智能物流系统产业化基地二期</w:t>
            </w:r>
          </w:p>
        </w:tc>
        <w:tc>
          <w:tcPr>
            <w:tcW w:w="793"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37,002.64</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vMerge/>
            <w:tcBorders>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轮胎智慧工厂研发中心</w:t>
            </w:r>
          </w:p>
        </w:tc>
        <w:tc>
          <w:tcPr>
            <w:tcW w:w="793"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24,306.09</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2,427.11</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智能轮胎应用技术中心</w:t>
            </w:r>
          </w:p>
        </w:tc>
        <w:tc>
          <w:tcPr>
            <w:tcW w:w="793"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14,316.7</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hint="eastAsia"/>
                <w:sz w:val="18"/>
                <w:szCs w:val="18"/>
              </w:rPr>
              <w:t>不适用</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不适用</w:t>
            </w:r>
          </w:p>
        </w:tc>
        <w:tc>
          <w:tcPr>
            <w:tcW w:w="879" w:type="dxa"/>
            <w:tcBorders>
              <w:top w:val="single" w:sz="2" w:space="0" w:color="auto"/>
              <w:left w:val="single" w:sz="2" w:space="0" w:color="auto"/>
              <w:bottom w:val="single" w:sz="2" w:space="0" w:color="auto"/>
              <w:right w:val="single" w:sz="2" w:space="0" w:color="auto"/>
            </w:tcBorders>
            <w:vAlign w:val="center"/>
          </w:tcPr>
          <w:p w:rsidR="00595F61" w:rsidRDefault="00595F61" w:rsidP="00595F61">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碳五低碳综合利用绿色新材料项目</w:t>
            </w:r>
          </w:p>
        </w:tc>
        <w:tc>
          <w:tcPr>
            <w:tcW w:w="7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29,091.45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34,292.21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83.87%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595F61">
            <w:pPr>
              <w:spacing w:line="240" w:lineRule="exact"/>
              <w:rPr>
                <w:rFonts w:ascii="宋体" w:eastAsia="宋体" w:hAnsi="宋体" w:cs="宋体"/>
                <w:sz w:val="18"/>
                <w:szCs w:val="18"/>
              </w:rPr>
            </w:pPr>
            <w:r>
              <w:rPr>
                <w:rFonts w:ascii="宋体" w:eastAsia="宋体" w:hAnsi="宋体" w:cs="宋体"/>
                <w:sz w:val="18"/>
                <w:szCs w:val="18"/>
              </w:rPr>
              <w:t>无</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承诺投资项目小计</w:t>
            </w:r>
          </w:p>
        </w:tc>
        <w:tc>
          <w:tcPr>
            <w:tcW w:w="7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29,091.45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127,809.32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超募资金投向</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7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超募资金投向小计</w:t>
            </w:r>
          </w:p>
        </w:tc>
        <w:tc>
          <w:tcPr>
            <w:tcW w:w="7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124,582.05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40,888.77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29,091.45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127,809.32</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87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分项目说明未达到计划进度、预计收益的情况和原因</w:t>
            </w:r>
            <w:r>
              <w:rPr>
                <w:rFonts w:ascii="宋体" w:eastAsia="宋体" w:hAnsi="宋体" w:cs="宋体"/>
                <w:sz w:val="18"/>
                <w:szCs w:val="18"/>
              </w:rPr>
              <w:lastRenderedPageBreak/>
              <w:t>（含“是否达到预计效益”选择“不适用”的原因）</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1、公司取消了 “工业及服务机器人、智能物流系统产业化基地二期”、“轮胎装备智能制造基地”</w:t>
            </w:r>
            <w:proofErr w:type="gramStart"/>
            <w:r>
              <w:rPr>
                <w:rFonts w:ascii="宋体" w:eastAsia="宋体" w:hAnsi="宋体" w:cs="宋体"/>
                <w:sz w:val="18"/>
                <w:szCs w:val="18"/>
              </w:rPr>
              <w:t>两个募投项目</w:t>
            </w:r>
            <w:proofErr w:type="gramEnd"/>
            <w:r>
              <w:rPr>
                <w:rFonts w:ascii="宋体" w:eastAsia="宋体" w:hAnsi="宋体" w:cs="宋体"/>
                <w:sz w:val="18"/>
                <w:szCs w:val="18"/>
              </w:rPr>
              <w:t>，并将其募集资金及利息收入、理财收入变更用途，用于偿还公司债券及银行贷款。</w:t>
            </w:r>
          </w:p>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2、公司取消了“轮胎智慧工厂研发中心”、“智能轮胎应用技术中心”</w:t>
            </w:r>
            <w:proofErr w:type="gramStart"/>
            <w:r>
              <w:rPr>
                <w:rFonts w:ascii="宋体" w:eastAsia="宋体" w:hAnsi="宋体" w:cs="宋体"/>
                <w:sz w:val="18"/>
                <w:szCs w:val="18"/>
              </w:rPr>
              <w:t>两个募投项目</w:t>
            </w:r>
            <w:proofErr w:type="gramEnd"/>
            <w:r>
              <w:rPr>
                <w:rFonts w:ascii="宋体" w:eastAsia="宋体" w:hAnsi="宋体" w:cs="宋体"/>
                <w:sz w:val="18"/>
                <w:szCs w:val="18"/>
              </w:rPr>
              <w:t>，并将其募集资金及利息收入、理财收入变更用途，用于碳五低碳综合利用绿色新材料项目。</w:t>
            </w:r>
          </w:p>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3、公司</w:t>
            </w:r>
            <w:proofErr w:type="gramStart"/>
            <w:r>
              <w:rPr>
                <w:rFonts w:ascii="宋体" w:eastAsia="宋体" w:hAnsi="宋体" w:cs="宋体"/>
                <w:sz w:val="18"/>
                <w:szCs w:val="18"/>
              </w:rPr>
              <w:t>目前募投项目</w:t>
            </w:r>
            <w:proofErr w:type="gramEnd"/>
            <w:r>
              <w:rPr>
                <w:rFonts w:ascii="宋体" w:eastAsia="宋体" w:hAnsi="宋体" w:cs="宋体"/>
                <w:sz w:val="18"/>
                <w:szCs w:val="18"/>
              </w:rPr>
              <w:t>“碳五低碳综合利用绿色新材料项目”，由于政府前置手续制约，及地处盘锦冬季低</w:t>
            </w:r>
            <w:r>
              <w:rPr>
                <w:rFonts w:ascii="宋体" w:eastAsia="宋体" w:hAnsi="宋体" w:cs="宋体"/>
                <w:sz w:val="18"/>
                <w:szCs w:val="18"/>
              </w:rPr>
              <w:lastRenderedPageBreak/>
              <w:t>温无法施工的原因，原本计划于2023年完成施工，现预计于2024年下半年完工并开始投产。</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项目可行性发生重大变化的情况说明</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1、因公司及全资子公司转让科捷机器人86.34%的股权，科捷机器人系“工业机器人及智能物流系统产业化基地二期”项目实施主体，因此公司于2017年11月22日召开第六届董事会第十二次会议，以7票同意，0 票反对，0 票弃权审议通过了《关于签署股权转让协议暨取消“工业机器人及智能物流系统产业化基地二期”募投项目的议案》，该项议案已经2017年第四次临时股东大会审议通过，独立董事也发表了同意的独立意见。“工业机器人及智能物流系统产业化基地二期”</w:t>
            </w:r>
            <w:proofErr w:type="gramStart"/>
            <w:r>
              <w:rPr>
                <w:rFonts w:ascii="宋体" w:eastAsia="宋体" w:hAnsi="宋体" w:cs="宋体"/>
                <w:sz w:val="18"/>
                <w:szCs w:val="18"/>
              </w:rPr>
              <w:t>募投项目</w:t>
            </w:r>
            <w:proofErr w:type="gramEnd"/>
            <w:r>
              <w:rPr>
                <w:rFonts w:ascii="宋体" w:eastAsia="宋体" w:hAnsi="宋体" w:cs="宋体"/>
                <w:sz w:val="18"/>
                <w:szCs w:val="18"/>
              </w:rPr>
              <w:t>取消。</w:t>
            </w:r>
          </w:p>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2、经过多年的较快增长，我国橡胶机械行业的增长速度近几年放缓。2018年以来经济全球化遭遇波折、中美贸易摩擦不断、国内经济增速持续放缓、国内汽车产销量较上年出现下滑，橡胶机械行业面临了诸多压力。在当前行业发展趋势和客观环境下，若盲目加大投入，资产加重，将导致公司折旧摊销费用等大幅增加，较大影响公司经营业绩。因此公司于2019年2月22日召开第六届董事会第二十次会议，以7票同意，0 票反对，0 票弃权审议通过了《关于终止部分募投项目并变更部分募集资金用于偿还公司债券及银行贷款的议案》，该项议案已经2019年第一次临时股东大会审议通过，独立董事也发表了同意的独立意见。“轮胎装备智能制造基地”</w:t>
            </w:r>
            <w:proofErr w:type="gramStart"/>
            <w:r>
              <w:rPr>
                <w:rFonts w:ascii="宋体" w:eastAsia="宋体" w:hAnsi="宋体" w:cs="宋体"/>
                <w:sz w:val="18"/>
                <w:szCs w:val="18"/>
              </w:rPr>
              <w:t>募投项目</w:t>
            </w:r>
            <w:proofErr w:type="gramEnd"/>
            <w:r>
              <w:rPr>
                <w:rFonts w:ascii="宋体" w:eastAsia="宋体" w:hAnsi="宋体" w:cs="宋体"/>
                <w:sz w:val="18"/>
                <w:szCs w:val="18"/>
              </w:rPr>
              <w:t>取消，同时将“工业及服务机器人、智能物流系统产业化基地二期”、“轮胎装备智能制造基地”</w:t>
            </w:r>
            <w:proofErr w:type="gramStart"/>
            <w:r>
              <w:rPr>
                <w:rFonts w:ascii="宋体" w:eastAsia="宋体" w:hAnsi="宋体" w:cs="宋体"/>
                <w:sz w:val="18"/>
                <w:szCs w:val="18"/>
              </w:rPr>
              <w:t>募投项目</w:t>
            </w:r>
            <w:proofErr w:type="gramEnd"/>
            <w:r>
              <w:rPr>
                <w:rFonts w:ascii="宋体" w:eastAsia="宋体" w:hAnsi="宋体" w:cs="宋体"/>
                <w:sz w:val="18"/>
                <w:szCs w:val="18"/>
              </w:rPr>
              <w:t>的募集资金及利息收入、理财收入所形成的全部金额（以资金转出当日银行结息后实际金额为准）用于偿还公司债券及银行贷款。其中公司将变更后募集资金中的59,959.26 万元及利息收入、理财收入所形成的全部金额偿还“16软控01”公司债；变更后募集资金中的26,000.00万元及利息收入、理财收入所形成的全部金额用于偿还公司部分银行贷款。</w:t>
            </w:r>
          </w:p>
          <w:p w:rsidR="00BA0365"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3、经济全球化遭遇波折、中美贸易摩擦不断、国内经济增速持续放缓、国内汽车产销量较往年出现下滑，橡胶机械行业面临了诸多压力。在当前行业发展趋势和客观环境下，若盲目加大投入，资产加重，将导致公司折旧摊销费用等大幅增加，较大影响公司经营业绩。因此公司于2022年4月22日召开第七届董事会第十九次会议及第七届监事会第十七次会议，审议通过《关于变更募集资金用途的议案》，终止使用募集资金投入“轮胎智慧工厂研发中心”项目及“智能轮胎应用技术中心”项目。原项目剩余未使用的募集资金将用于投入开展“碳五低碳综合利用绿色新材料项目”。</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超募资金的金额、用途及使用进展情况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rsidTr="00595F61">
        <w:trPr>
          <w:trHeight w:val="240"/>
        </w:trPr>
        <w:tc>
          <w:tcPr>
            <w:tcW w:w="9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募集资金投资项目实施地点变更情况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适用</w:t>
            </w:r>
          </w:p>
        </w:tc>
      </w:tr>
      <w:tr w:rsidR="00157EA0" w:rsidTr="00595F61">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157EA0" w:rsidTr="00595F61">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原</w:t>
            </w:r>
            <w:proofErr w:type="gramStart"/>
            <w:r>
              <w:rPr>
                <w:rFonts w:ascii="宋体" w:eastAsia="宋体" w:hAnsi="宋体" w:cs="宋体"/>
                <w:sz w:val="18"/>
                <w:szCs w:val="18"/>
              </w:rPr>
              <w:t>募投项目</w:t>
            </w:r>
            <w:proofErr w:type="gramEnd"/>
            <w:r>
              <w:rPr>
                <w:rFonts w:ascii="宋体" w:eastAsia="宋体" w:hAnsi="宋体" w:cs="宋体"/>
                <w:sz w:val="18"/>
                <w:szCs w:val="18"/>
              </w:rPr>
              <w:t>的实施地点为山东青岛，变更后的</w:t>
            </w:r>
            <w:proofErr w:type="gramStart"/>
            <w:r>
              <w:rPr>
                <w:rFonts w:ascii="宋体" w:eastAsia="宋体" w:hAnsi="宋体" w:cs="宋体"/>
                <w:sz w:val="18"/>
                <w:szCs w:val="18"/>
              </w:rPr>
              <w:t>募投项目</w:t>
            </w:r>
            <w:proofErr w:type="gramEnd"/>
            <w:r>
              <w:rPr>
                <w:rFonts w:ascii="宋体" w:eastAsia="宋体" w:hAnsi="宋体" w:cs="宋体"/>
                <w:sz w:val="18"/>
                <w:szCs w:val="18"/>
              </w:rPr>
              <w:t>实施地点为辽宁</w:t>
            </w:r>
            <w:proofErr w:type="gramStart"/>
            <w:r>
              <w:rPr>
                <w:rFonts w:ascii="宋体" w:eastAsia="宋体" w:hAnsi="宋体" w:cs="宋体"/>
                <w:sz w:val="18"/>
                <w:szCs w:val="18"/>
              </w:rPr>
              <w:t>盘锦辽滨沿海</w:t>
            </w:r>
            <w:proofErr w:type="gramEnd"/>
            <w:r>
              <w:rPr>
                <w:rFonts w:ascii="宋体" w:eastAsia="宋体" w:hAnsi="宋体" w:cs="宋体"/>
                <w:sz w:val="18"/>
                <w:szCs w:val="18"/>
              </w:rPr>
              <w:t>经济技术开发区。</w:t>
            </w:r>
          </w:p>
        </w:tc>
      </w:tr>
      <w:tr w:rsidR="00157EA0" w:rsidTr="00595F61">
        <w:trPr>
          <w:trHeight w:val="240"/>
        </w:trPr>
        <w:tc>
          <w:tcPr>
            <w:tcW w:w="9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募集资金投资项目实施方式调整情况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适用</w:t>
            </w:r>
          </w:p>
        </w:tc>
      </w:tr>
      <w:tr w:rsidR="00157EA0" w:rsidTr="00595F61">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以前年度发生</w:t>
            </w:r>
          </w:p>
        </w:tc>
      </w:tr>
      <w:tr w:rsidR="00157EA0" w:rsidTr="00595F61">
        <w:trPr>
          <w:trHeight w:val="240"/>
        </w:trPr>
        <w:tc>
          <w:tcPr>
            <w:tcW w:w="9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于2022年4月22日召开第七届董事会第十九次会议及第七届监事会第十七次会议，审议通过《关于变更募集资金用途的议案》，终止使用募集资金投入“轮胎智慧工厂研发中心”项目及“智能轮胎应用技术中心”项目。原项目剩余未使用的募集资金将用于投入开展“碳五低碳综合利用绿色新材料项目”。</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募集资金投资项目先期投入及置换情况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用闲置募集资金暂时补充流动资金情况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项目实施出现募集</w:t>
            </w:r>
            <w:r>
              <w:rPr>
                <w:rFonts w:ascii="宋体" w:eastAsia="宋体" w:hAnsi="宋体" w:cs="宋体"/>
                <w:sz w:val="18"/>
                <w:szCs w:val="18"/>
              </w:rPr>
              <w:lastRenderedPageBreak/>
              <w:t>资金结余的金额及原因</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不适用</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尚未使用的募集资金用途及去向</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截至2023年12月31日，公司募集资金全部放于募集资金专户中。</w:t>
            </w:r>
          </w:p>
        </w:tc>
      </w:tr>
      <w:tr w:rsidR="00157EA0" w:rsidTr="00595F61">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募集资金使用及披露中存在的问题或其他情况</w:t>
            </w:r>
          </w:p>
        </w:tc>
        <w:tc>
          <w:tcPr>
            <w:tcW w:w="8680"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rsidP="007370FD">
            <w:pPr>
              <w:pStyle w:val="a3"/>
              <w:spacing w:before="0" w:beforeAutospacing="0" w:after="0" w:afterAutospacing="0"/>
              <w:ind w:firstLine="420"/>
              <w:rPr>
                <w:sz w:val="18"/>
                <w:szCs w:val="18"/>
              </w:rPr>
            </w:pPr>
            <w:r>
              <w:rPr>
                <w:sz w:val="18"/>
                <w:szCs w:val="18"/>
              </w:rPr>
              <w:t>公司于2022年5月27日召开第八届董事会第一次会议和第八届监事会第一次会议,分别审议通过了《关于使用部分暂时闲置募集资金进行现金管理的议案》，该次使用募集资金进行现金管理的授权有效期为第八届董事会第一次会议授权之日起12个月内有效。在上述有效期之外，在未经董事会授权情况下，公司使用部分暂时闲置募集资金15,000万元进行现金管理，公司于2023年8月28日召开第八届董事会第十一次会议、第八届监事会第十三次会议审议《关于使用部分暂时闲置募集资金进行现金管理及追认使用部分闲置募集资金进行现金管理的议案》，董事会对超过授权期限使用暂时闲置募集资金现金管理的情况进行了追认，《关于使用部分暂时闲置募集资金进行现金管理及追认使用部分闲置募集资金进行现金管理的公告》详见巨潮资讯网（http://www.cninfo.com.cn）及《证券时报》《中国证券报》《上海证券报》《证券日报》。</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46" w:name="_Toc988935"/>
      <w:r>
        <w:rPr>
          <w:rFonts w:ascii="宋体" w:eastAsia="宋体" w:hAnsi="宋体" w:cs="宋体"/>
          <w:b/>
          <w:bCs/>
          <w:sz w:val="18"/>
          <w:szCs w:val="18"/>
        </w:rPr>
        <w:t>（3） 募集资金变更项目情况</w:t>
      </w:r>
      <w:bookmarkEnd w:id="46"/>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公司报告期不存在募集资金变更项目情况。</w:t>
      </w:r>
    </w:p>
    <w:p w:rsidR="00BA0365" w:rsidRDefault="008D4B2E">
      <w:pPr>
        <w:pStyle w:val="2"/>
        <w:spacing w:before="300" w:after="300" w:line="320" w:lineRule="exact"/>
        <w:rPr>
          <w:rFonts w:ascii="宋体" w:eastAsia="宋体" w:hAnsi="宋体" w:cs="宋体"/>
          <w:b/>
          <w:bCs/>
          <w:sz w:val="24"/>
          <w:szCs w:val="24"/>
        </w:rPr>
      </w:pPr>
      <w:bookmarkStart w:id="47" w:name="_Toc988936"/>
      <w:r>
        <w:rPr>
          <w:rFonts w:ascii="宋体" w:eastAsia="宋体" w:hAnsi="宋体" w:cs="宋体"/>
          <w:b/>
          <w:bCs/>
          <w:sz w:val="24"/>
          <w:szCs w:val="24"/>
        </w:rPr>
        <w:t>八、重大资产和股权出售</w:t>
      </w:r>
      <w:bookmarkEnd w:id="47"/>
    </w:p>
    <w:p w:rsidR="00BA0365" w:rsidRDefault="008D4B2E">
      <w:pPr>
        <w:pStyle w:val="3"/>
        <w:spacing w:line="280" w:lineRule="exact"/>
        <w:jc w:val="left"/>
        <w:rPr>
          <w:rFonts w:ascii="宋体" w:hAnsi="宋体" w:cs="宋体"/>
          <w:b/>
          <w:bCs/>
        </w:rPr>
      </w:pPr>
      <w:bookmarkStart w:id="48" w:name="_Toc988937"/>
      <w:r>
        <w:rPr>
          <w:rFonts w:ascii="宋体" w:hAnsi="宋体" w:cs="宋体"/>
          <w:b/>
          <w:bCs/>
        </w:rPr>
        <w:t>1、出售重大资产情况</w:t>
      </w:r>
      <w:bookmarkEnd w:id="4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公司报告期未出售重大资产。</w:t>
      </w:r>
    </w:p>
    <w:p w:rsidR="00BA0365" w:rsidRDefault="008D4B2E">
      <w:pPr>
        <w:pStyle w:val="3"/>
        <w:spacing w:line="280" w:lineRule="exact"/>
        <w:jc w:val="left"/>
        <w:rPr>
          <w:rFonts w:ascii="宋体" w:hAnsi="宋体" w:cs="宋体"/>
          <w:b/>
          <w:bCs/>
        </w:rPr>
      </w:pPr>
      <w:bookmarkStart w:id="49" w:name="_Toc988938"/>
      <w:r>
        <w:rPr>
          <w:rFonts w:ascii="宋体" w:hAnsi="宋体" w:cs="宋体"/>
          <w:b/>
          <w:bCs/>
        </w:rPr>
        <w:t>2、出售重大股权情况</w:t>
      </w:r>
      <w:bookmarkEnd w:id="4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689"/>
        <w:gridCol w:w="689"/>
        <w:gridCol w:w="689"/>
        <w:gridCol w:w="689"/>
        <w:gridCol w:w="689"/>
        <w:gridCol w:w="689"/>
        <w:gridCol w:w="689"/>
        <w:gridCol w:w="688"/>
        <w:gridCol w:w="688"/>
        <w:gridCol w:w="688"/>
        <w:gridCol w:w="688"/>
        <w:gridCol w:w="688"/>
        <w:gridCol w:w="688"/>
        <w:gridCol w:w="688"/>
      </w:tblGrid>
      <w:tr w:rsidR="00157EA0">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交易对方</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被出售股权</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出售日</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交易价格（万元）</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本期初起至出售日该股权为上市公司贡献的净利润（万元）</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出售对公司的影响</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股权出售为上市公司贡献的净利润占净利润总额的比例</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股权出售定价原则</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是否为关联交易</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与交易对方的关联关系</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所涉及的股权是否已全部过户</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是否按计划如期实施，如未按计划实施，应当说明原因及公司已采取的措施</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科捷智能科技股份</w:t>
            </w:r>
            <w:r>
              <w:rPr>
                <w:rFonts w:ascii="宋体" w:eastAsia="宋体" w:hAnsi="宋体" w:cs="宋体"/>
                <w:sz w:val="18"/>
                <w:szCs w:val="18"/>
              </w:rPr>
              <w:lastRenderedPageBreak/>
              <w:t>有限公司</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青岛软控智能装备</w:t>
            </w:r>
            <w:r>
              <w:rPr>
                <w:rFonts w:ascii="宋体" w:eastAsia="宋体" w:hAnsi="宋体" w:cs="宋体"/>
                <w:sz w:val="18"/>
                <w:szCs w:val="18"/>
              </w:rPr>
              <w:lastRenderedPageBreak/>
              <w:t>有限公司</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2023年05月31日</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-23.83</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2,149.52万元</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协商确定</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2023年04月26日</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《关于转让全资子</w:t>
            </w:r>
            <w:r>
              <w:rPr>
                <w:rFonts w:ascii="宋体" w:eastAsia="宋体" w:hAnsi="宋体" w:cs="宋体"/>
                <w:sz w:val="18"/>
                <w:szCs w:val="18"/>
              </w:rPr>
              <w:lastRenderedPageBreak/>
              <w:t>公司股权的公告》（公告编号：2023-026）</w:t>
            </w:r>
          </w:p>
        </w:tc>
      </w:tr>
    </w:tbl>
    <w:p w:rsidR="00BA0365" w:rsidRDefault="008D4B2E">
      <w:pPr>
        <w:pStyle w:val="2"/>
        <w:spacing w:before="300" w:after="300" w:line="320" w:lineRule="exact"/>
        <w:rPr>
          <w:rFonts w:ascii="宋体" w:eastAsia="宋体" w:hAnsi="宋体" w:cs="宋体"/>
          <w:b/>
          <w:bCs/>
          <w:sz w:val="24"/>
          <w:szCs w:val="24"/>
        </w:rPr>
      </w:pPr>
      <w:bookmarkStart w:id="50" w:name="_Toc988939"/>
      <w:r>
        <w:rPr>
          <w:rFonts w:ascii="宋体" w:eastAsia="宋体" w:hAnsi="宋体" w:cs="宋体"/>
          <w:b/>
          <w:bCs/>
          <w:sz w:val="24"/>
          <w:szCs w:val="24"/>
        </w:rPr>
        <w:lastRenderedPageBreak/>
        <w:t>九、主要控股参股公司分析</w:t>
      </w:r>
      <w:bookmarkEnd w:id="5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主要子公司及对公司净利润</w:t>
      </w:r>
      <w:proofErr w:type="gramStart"/>
      <w:r>
        <w:rPr>
          <w:rFonts w:ascii="宋体" w:eastAsia="宋体" w:hAnsi="宋体" w:cs="宋体"/>
          <w:sz w:val="18"/>
          <w:szCs w:val="18"/>
        </w:rPr>
        <w:t>影响达</w:t>
      </w:r>
      <w:proofErr w:type="gramEnd"/>
      <w:r>
        <w:rPr>
          <w:rFonts w:ascii="宋体" w:eastAsia="宋体" w:hAnsi="宋体" w:cs="宋体"/>
          <w:sz w:val="18"/>
          <w:szCs w:val="18"/>
        </w:rPr>
        <w:t>10%以上的参股公司情况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公司类型</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主要业务</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总资产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净资产</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同营业执照的“营业范围”</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1,200,000,000.00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9,077,928,543.43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2,555,280,745.03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2,987,817,556.92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171,429,599.09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169,097,446.26</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同营业执照的“营业范围”</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1,725,106,178.77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122,180,156.58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555,463,047.90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83,499,818.70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74,004,125.62</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报告期内取得和处置子公司的情况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3652"/>
        <w:gridCol w:w="2774"/>
        <w:gridCol w:w="3213"/>
      </w:tblGrid>
      <w:tr w:rsidR="00157EA0" w:rsidTr="00832133">
        <w:trPr>
          <w:trHeight w:val="240"/>
        </w:trPr>
        <w:tc>
          <w:tcPr>
            <w:tcW w:w="365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公司名称</w:t>
            </w:r>
          </w:p>
        </w:tc>
        <w:tc>
          <w:tcPr>
            <w:tcW w:w="27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报告期内取得和处置子公司方式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对整体生产经营和业绩的影响</w:t>
            </w:r>
          </w:p>
        </w:tc>
      </w:tr>
      <w:tr w:rsidR="00157EA0" w:rsidTr="00832133">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青岛软控智能装备有限公司</w:t>
            </w:r>
          </w:p>
        </w:tc>
        <w:tc>
          <w:tcPr>
            <w:tcW w:w="27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出售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无重大影响</w:t>
            </w:r>
          </w:p>
        </w:tc>
      </w:tr>
      <w:tr w:rsidR="00157EA0" w:rsidTr="00832133">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HKZQ ENERGY AND TECHNOLOGY CO., LTD.</w:t>
            </w:r>
          </w:p>
        </w:tc>
        <w:tc>
          <w:tcPr>
            <w:tcW w:w="27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新设成立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无重大影响</w:t>
            </w:r>
          </w:p>
        </w:tc>
      </w:tr>
      <w:tr w:rsidR="00157EA0" w:rsidTr="00832133">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德州智控新能源</w:t>
            </w:r>
            <w:proofErr w:type="gramEnd"/>
            <w:r>
              <w:rPr>
                <w:rFonts w:ascii="宋体" w:eastAsia="宋体" w:hAnsi="宋体" w:cs="宋体"/>
                <w:sz w:val="18"/>
                <w:szCs w:val="18"/>
              </w:rPr>
              <w:t>发展有限公司</w:t>
            </w:r>
          </w:p>
        </w:tc>
        <w:tc>
          <w:tcPr>
            <w:tcW w:w="27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新设成立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无重大影响</w:t>
            </w:r>
          </w:p>
        </w:tc>
      </w:tr>
      <w:tr w:rsidR="00157EA0" w:rsidTr="00832133">
        <w:trPr>
          <w:trHeight w:val="240"/>
        </w:trPr>
        <w:tc>
          <w:tcPr>
            <w:tcW w:w="36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菏泽智控能源</w:t>
            </w:r>
            <w:proofErr w:type="gramEnd"/>
            <w:r>
              <w:rPr>
                <w:rFonts w:ascii="宋体" w:eastAsia="宋体" w:hAnsi="宋体" w:cs="宋体"/>
                <w:sz w:val="18"/>
                <w:szCs w:val="18"/>
              </w:rPr>
              <w:t>发展有限公司</w:t>
            </w:r>
          </w:p>
        </w:tc>
        <w:tc>
          <w:tcPr>
            <w:tcW w:w="277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新设成立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无重大影响</w:t>
            </w:r>
          </w:p>
        </w:tc>
      </w:tr>
    </w:tbl>
    <w:p w:rsidR="00BA0365" w:rsidRDefault="008D4B2E">
      <w:pPr>
        <w:pStyle w:val="2"/>
        <w:spacing w:before="300" w:after="300" w:line="320" w:lineRule="exact"/>
        <w:rPr>
          <w:rFonts w:ascii="宋体" w:eastAsia="宋体" w:hAnsi="宋体" w:cs="宋体"/>
          <w:b/>
          <w:bCs/>
          <w:sz w:val="24"/>
          <w:szCs w:val="24"/>
        </w:rPr>
      </w:pPr>
      <w:bookmarkStart w:id="51" w:name="_Toc988940"/>
      <w:r>
        <w:rPr>
          <w:rFonts w:ascii="宋体" w:eastAsia="宋体" w:hAnsi="宋体" w:cs="宋体"/>
          <w:b/>
          <w:bCs/>
          <w:sz w:val="24"/>
          <w:szCs w:val="24"/>
        </w:rPr>
        <w:t>十、公司控制的结构化主体情况</w:t>
      </w:r>
      <w:bookmarkEnd w:id="5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52" w:name="_Toc988941"/>
      <w:r>
        <w:rPr>
          <w:rFonts w:ascii="宋体" w:eastAsia="宋体" w:hAnsi="宋体" w:cs="宋体"/>
          <w:b/>
          <w:bCs/>
          <w:sz w:val="24"/>
          <w:szCs w:val="24"/>
        </w:rPr>
        <w:t>十一、公司未来发展的展望</w:t>
      </w:r>
      <w:bookmarkEnd w:id="52"/>
    </w:p>
    <w:p w:rsidR="008D4B2E" w:rsidRDefault="008D4B2E">
      <w:pPr>
        <w:pStyle w:val="a3"/>
        <w:spacing w:before="0" w:beforeAutospacing="0" w:after="0" w:afterAutospacing="0"/>
        <w:ind w:firstLine="420"/>
        <w:divId w:val="481583381"/>
      </w:pPr>
      <w:r>
        <w:rPr>
          <w:rFonts w:hint="eastAsia"/>
          <w:sz w:val="18"/>
          <w:szCs w:val="18"/>
        </w:rPr>
        <w:t>公司2024发展战略及重点工作</w:t>
      </w:r>
    </w:p>
    <w:p w:rsidR="008D4B2E" w:rsidRDefault="008D4B2E">
      <w:pPr>
        <w:pStyle w:val="a3"/>
        <w:spacing w:before="0" w:beforeAutospacing="0" w:after="0" w:afterAutospacing="0"/>
        <w:ind w:firstLine="420"/>
        <w:divId w:val="481583381"/>
      </w:pPr>
      <w:r>
        <w:rPr>
          <w:rFonts w:hint="eastAsia"/>
          <w:sz w:val="18"/>
          <w:szCs w:val="18"/>
        </w:rPr>
        <w:t>2024年发展战略：公司在橡胶机械业务上整体保持稳步增长，确保领先的市场占有率，持续攻关海外高端市场，加大对新兴业务的投入，提升全球品牌能力。</w:t>
      </w:r>
    </w:p>
    <w:p w:rsidR="008D4B2E" w:rsidRDefault="008D4B2E">
      <w:pPr>
        <w:pStyle w:val="a3"/>
        <w:spacing w:before="0" w:beforeAutospacing="0" w:after="0" w:afterAutospacing="0"/>
        <w:ind w:firstLine="420"/>
        <w:divId w:val="481583381"/>
      </w:pPr>
      <w:r>
        <w:rPr>
          <w:rFonts w:hint="eastAsia"/>
          <w:sz w:val="18"/>
          <w:szCs w:val="18"/>
        </w:rPr>
        <w:t>1、市场方面</w:t>
      </w:r>
    </w:p>
    <w:p w:rsidR="008D4B2E" w:rsidRDefault="008D4B2E">
      <w:pPr>
        <w:pStyle w:val="a3"/>
        <w:spacing w:before="0" w:beforeAutospacing="0" w:after="0" w:afterAutospacing="0"/>
        <w:ind w:firstLine="420"/>
        <w:divId w:val="481583381"/>
      </w:pPr>
      <w:r>
        <w:rPr>
          <w:rFonts w:hint="eastAsia"/>
          <w:sz w:val="18"/>
          <w:szCs w:val="18"/>
        </w:rPr>
        <w:t>确保国内市场占有率，强化高端市场开拓，扩大订单份额，聚</w:t>
      </w:r>
      <w:proofErr w:type="gramStart"/>
      <w:r>
        <w:rPr>
          <w:rFonts w:hint="eastAsia"/>
          <w:sz w:val="18"/>
          <w:szCs w:val="18"/>
        </w:rPr>
        <w:t>力战略</w:t>
      </w:r>
      <w:proofErr w:type="gramEnd"/>
      <w:r>
        <w:rPr>
          <w:rFonts w:hint="eastAsia"/>
          <w:sz w:val="18"/>
          <w:szCs w:val="18"/>
        </w:rPr>
        <w:t>产品，形成能够支撑公司国际化的新战略支点，加强海外服务中心的管理和督导能力，以战略客户和重大项目客户为重点，增进客户粘性，提升客户满意度。</w:t>
      </w:r>
    </w:p>
    <w:p w:rsidR="008D4B2E" w:rsidRDefault="008D4B2E">
      <w:pPr>
        <w:pStyle w:val="a3"/>
        <w:spacing w:before="0" w:beforeAutospacing="0" w:after="0" w:afterAutospacing="0"/>
        <w:ind w:firstLine="420"/>
        <w:divId w:val="481583381"/>
      </w:pPr>
      <w:r>
        <w:rPr>
          <w:rFonts w:hint="eastAsia"/>
          <w:sz w:val="18"/>
          <w:szCs w:val="18"/>
        </w:rPr>
        <w:t>2、产品方面</w:t>
      </w:r>
    </w:p>
    <w:p w:rsidR="008D4B2E" w:rsidRDefault="008D4B2E">
      <w:pPr>
        <w:pStyle w:val="a3"/>
        <w:spacing w:before="0" w:beforeAutospacing="0" w:after="0" w:afterAutospacing="0"/>
        <w:ind w:firstLine="420"/>
        <w:divId w:val="481583381"/>
      </w:pPr>
      <w:r>
        <w:rPr>
          <w:rFonts w:hint="eastAsia"/>
          <w:sz w:val="18"/>
          <w:szCs w:val="18"/>
        </w:rPr>
        <w:t>持续加速具有可持续内生动力的产品研发战略，持续精进具有自主性、引领性的技术攻关战略，持续迭代具有系统支撑和引领的研发平台战略，联合推广自主化技术，提升市场竞争壁垒，夯实模块化与可靠性两个根基，实现产品发展再跨越。</w:t>
      </w:r>
    </w:p>
    <w:p w:rsidR="008D4B2E" w:rsidRDefault="008D4B2E">
      <w:pPr>
        <w:pStyle w:val="a3"/>
        <w:spacing w:before="0" w:beforeAutospacing="0" w:after="0" w:afterAutospacing="0"/>
        <w:ind w:firstLine="420"/>
        <w:divId w:val="481583381"/>
      </w:pPr>
      <w:r>
        <w:rPr>
          <w:rFonts w:hint="eastAsia"/>
          <w:sz w:val="18"/>
          <w:szCs w:val="18"/>
        </w:rPr>
        <w:t>3、质量方面</w:t>
      </w:r>
    </w:p>
    <w:p w:rsidR="008D4B2E" w:rsidRDefault="008D4B2E">
      <w:pPr>
        <w:pStyle w:val="a3"/>
        <w:spacing w:before="0" w:beforeAutospacing="0" w:after="0" w:afterAutospacing="0"/>
        <w:ind w:firstLine="420"/>
        <w:divId w:val="481583381"/>
      </w:pPr>
      <w:r>
        <w:rPr>
          <w:rFonts w:hint="eastAsia"/>
          <w:sz w:val="18"/>
          <w:szCs w:val="18"/>
        </w:rPr>
        <w:lastRenderedPageBreak/>
        <w:t>以质量问题为抓手，全面收集问题并闭环迭代；聚焦</w:t>
      </w:r>
      <w:proofErr w:type="gramStart"/>
      <w:r>
        <w:rPr>
          <w:rFonts w:hint="eastAsia"/>
          <w:sz w:val="18"/>
          <w:szCs w:val="18"/>
        </w:rPr>
        <w:t>制程质量管</w:t>
      </w:r>
      <w:proofErr w:type="gramEnd"/>
      <w:r>
        <w:rPr>
          <w:rFonts w:hint="eastAsia"/>
          <w:sz w:val="18"/>
          <w:szCs w:val="18"/>
        </w:rPr>
        <w:t>控，推进核心标准落地，提升供应质量管理能力，实现核心零部件质量可控，以提升客户质量体验为核心，有效解决售后质量问题，筑牢公司的质量工作地基。</w:t>
      </w:r>
    </w:p>
    <w:p w:rsidR="008D4B2E" w:rsidRDefault="008D4B2E">
      <w:pPr>
        <w:pStyle w:val="a3"/>
        <w:spacing w:before="0" w:beforeAutospacing="0" w:after="0" w:afterAutospacing="0"/>
        <w:ind w:firstLine="420"/>
        <w:divId w:val="481583381"/>
      </w:pPr>
      <w:r>
        <w:rPr>
          <w:rFonts w:hint="eastAsia"/>
          <w:sz w:val="18"/>
          <w:szCs w:val="18"/>
        </w:rPr>
        <w:t>4、生产与运营方面</w:t>
      </w:r>
    </w:p>
    <w:p w:rsidR="008D4B2E" w:rsidRDefault="008D4B2E">
      <w:pPr>
        <w:pStyle w:val="a3"/>
        <w:spacing w:before="0" w:beforeAutospacing="0" w:after="0" w:afterAutospacing="0"/>
        <w:ind w:firstLine="420"/>
        <w:divId w:val="481583381"/>
      </w:pPr>
      <w:r>
        <w:rPr>
          <w:rFonts w:hint="eastAsia"/>
          <w:sz w:val="18"/>
          <w:szCs w:val="18"/>
        </w:rPr>
        <w:t>升级供应链平台能力，丰富专业化加工业</w:t>
      </w:r>
      <w:proofErr w:type="gramStart"/>
      <w:r>
        <w:rPr>
          <w:rFonts w:hint="eastAsia"/>
          <w:sz w:val="18"/>
          <w:szCs w:val="18"/>
        </w:rPr>
        <w:t>务</w:t>
      </w:r>
      <w:proofErr w:type="gramEnd"/>
      <w:r>
        <w:rPr>
          <w:rFonts w:hint="eastAsia"/>
          <w:sz w:val="18"/>
          <w:szCs w:val="18"/>
        </w:rPr>
        <w:t>实践和落地场景，强化销产供协同，打通全链条计划流信息流，进一步理顺生产运营体系。以重点项目交付为核心抓手，规范项目管理标准，提升项目管理能力；持续发力各运营专项，完善运营规划和执行能力。</w:t>
      </w:r>
    </w:p>
    <w:p w:rsidR="008D4B2E" w:rsidRDefault="008D4B2E">
      <w:pPr>
        <w:pStyle w:val="a3"/>
        <w:spacing w:before="0" w:beforeAutospacing="0" w:after="0" w:afterAutospacing="0"/>
        <w:ind w:firstLine="420"/>
        <w:divId w:val="481583381"/>
      </w:pPr>
      <w:r>
        <w:rPr>
          <w:rFonts w:hint="eastAsia"/>
          <w:sz w:val="18"/>
          <w:szCs w:val="18"/>
        </w:rPr>
        <w:t>2024年，公司将守住初心，砥砺前行，在橡胶机械业务稳扎稳打，加大产品研发，改善客户结构，提升产品质量。未来公司将精耕橡胶行业智能制造，积极培育相关行业智能制造业务；同时围绕橡胶行业，以新材料为重点探索多元业务布局。</w:t>
      </w:r>
    </w:p>
    <w:p w:rsidR="008D4B2E" w:rsidRDefault="008D4B2E">
      <w:pPr>
        <w:pStyle w:val="a3"/>
        <w:spacing w:before="0" w:beforeAutospacing="0" w:after="0" w:afterAutospacing="0"/>
        <w:ind w:firstLine="420"/>
        <w:divId w:val="481583381"/>
      </w:pPr>
      <w:r>
        <w:rPr>
          <w:rFonts w:hint="eastAsia"/>
          <w:sz w:val="18"/>
          <w:szCs w:val="18"/>
        </w:rPr>
        <w:t>2024公司经营目标实现的主要风险因素以及应对措施</w:t>
      </w:r>
    </w:p>
    <w:p w:rsidR="008D4B2E" w:rsidRDefault="008D4B2E">
      <w:pPr>
        <w:pStyle w:val="a3"/>
        <w:spacing w:before="0" w:beforeAutospacing="0" w:after="0" w:afterAutospacing="0"/>
        <w:ind w:firstLine="420"/>
        <w:divId w:val="481583381"/>
      </w:pPr>
      <w:r>
        <w:rPr>
          <w:rFonts w:hint="eastAsia"/>
          <w:sz w:val="18"/>
          <w:szCs w:val="18"/>
        </w:rPr>
        <w:t>1、宏观市场经济环境风险及应对措施</w:t>
      </w:r>
    </w:p>
    <w:p w:rsidR="008D4B2E" w:rsidRDefault="008D4B2E">
      <w:pPr>
        <w:pStyle w:val="a3"/>
        <w:spacing w:before="0" w:beforeAutospacing="0" w:after="0" w:afterAutospacing="0"/>
        <w:ind w:firstLine="420"/>
        <w:divId w:val="481583381"/>
      </w:pPr>
      <w:r>
        <w:rPr>
          <w:rFonts w:hint="eastAsia"/>
          <w:sz w:val="18"/>
          <w:szCs w:val="18"/>
        </w:rPr>
        <w:t>面对近几年整体较为严峻的国内外宏观环境，国内外经济形势及政策不断变化，可能会影响到公司产品的销售和收入的增长。公司会及时制定应对国内外经济环境变化的有效防范机制，同时依托各项优势勤练内功，争取创造新的业绩增长点，并且密切关注宏观经营环境和政策的变化，积极快速的处理与应对其带来的风险和挑战。</w:t>
      </w:r>
    </w:p>
    <w:p w:rsidR="008D4B2E" w:rsidRDefault="008D4B2E">
      <w:pPr>
        <w:pStyle w:val="a3"/>
        <w:spacing w:before="0" w:beforeAutospacing="0" w:after="0" w:afterAutospacing="0"/>
        <w:ind w:firstLine="420"/>
        <w:divId w:val="481583381"/>
      </w:pPr>
      <w:r>
        <w:rPr>
          <w:rFonts w:hint="eastAsia"/>
          <w:sz w:val="18"/>
          <w:szCs w:val="18"/>
        </w:rPr>
        <w:t>2、市场竞争风险及应对措施</w:t>
      </w:r>
    </w:p>
    <w:p w:rsidR="008D4B2E" w:rsidRDefault="008D4B2E">
      <w:pPr>
        <w:pStyle w:val="a3"/>
        <w:spacing w:before="0" w:beforeAutospacing="0" w:after="0" w:afterAutospacing="0"/>
        <w:ind w:firstLine="420"/>
        <w:divId w:val="481583381"/>
      </w:pPr>
      <w:r>
        <w:rPr>
          <w:rFonts w:hint="eastAsia"/>
          <w:sz w:val="18"/>
          <w:szCs w:val="18"/>
        </w:rPr>
        <w:t>随着轮胎行业步入新的发展周期，市场竞争日趋激烈，会对公司带来一定风险。作为轮胎橡胶装备与系统的研发与制造的优势企业，公司在技术水平、市场份额、产销规模等方面与国内竞争对手相比具有比较强的竞争优势，抓住智能制造机遇，积极为构建智慧工厂提供解决方案，稳步推进橡胶机械装备板块“中高端”、“国际化”的发展战略。</w:t>
      </w:r>
    </w:p>
    <w:p w:rsidR="008D4B2E" w:rsidRDefault="008D4B2E">
      <w:pPr>
        <w:pStyle w:val="a3"/>
        <w:spacing w:before="0" w:beforeAutospacing="0" w:after="0" w:afterAutospacing="0"/>
        <w:ind w:firstLine="420"/>
        <w:divId w:val="481583381"/>
      </w:pPr>
      <w:r>
        <w:rPr>
          <w:rFonts w:hint="eastAsia"/>
          <w:sz w:val="18"/>
          <w:szCs w:val="18"/>
        </w:rPr>
        <w:t>3、应收账款回收的风险及应对措施</w:t>
      </w:r>
    </w:p>
    <w:p w:rsidR="00595F61" w:rsidRDefault="008D4B2E" w:rsidP="00595F61">
      <w:pPr>
        <w:pStyle w:val="a3"/>
        <w:spacing w:before="0" w:beforeAutospacing="0" w:after="0" w:afterAutospacing="0"/>
        <w:ind w:firstLine="420"/>
        <w:divId w:val="481583381"/>
      </w:pPr>
      <w:r>
        <w:rPr>
          <w:rFonts w:hint="eastAsia"/>
          <w:sz w:val="18"/>
          <w:szCs w:val="18"/>
        </w:rPr>
        <w:t>公司按相关会计准则规定，对应收账款足额计提坏账准备，符合历年经营规律，受市场竞争日趋激烈及环保政策等宏观环境影响，可能存在个别客户因资金周转等原因拖欠公司的货款。对此，公司将进一步依法完善应收账款管理办法，降低应收账款回收风险，持续优化公司资产质量。</w:t>
      </w:r>
    </w:p>
    <w:p w:rsidR="00595F61" w:rsidRDefault="008D4B2E" w:rsidP="00595F61">
      <w:pPr>
        <w:pStyle w:val="a3"/>
        <w:spacing w:before="0" w:beforeAutospacing="0" w:after="0" w:afterAutospacing="0"/>
        <w:ind w:firstLine="420"/>
        <w:divId w:val="481583381"/>
      </w:pPr>
      <w:r>
        <w:rPr>
          <w:rFonts w:ascii="Calibri" w:hAnsi="Calibri" w:cs="Calibri"/>
          <w:sz w:val="18"/>
          <w:szCs w:val="18"/>
        </w:rPr>
        <w:t> 4</w:t>
      </w:r>
      <w:r>
        <w:rPr>
          <w:rFonts w:hint="eastAsia"/>
          <w:sz w:val="18"/>
          <w:szCs w:val="18"/>
        </w:rPr>
        <w:t>、汇率波动风险及应对措施</w:t>
      </w:r>
    </w:p>
    <w:p w:rsidR="008D4B2E" w:rsidRPr="00595F61" w:rsidRDefault="008D4B2E" w:rsidP="00595F61">
      <w:pPr>
        <w:pStyle w:val="a3"/>
        <w:spacing w:before="0" w:beforeAutospacing="0" w:after="0" w:afterAutospacing="0"/>
        <w:ind w:firstLine="420"/>
        <w:divId w:val="481583381"/>
      </w:pPr>
      <w:r>
        <w:rPr>
          <w:rFonts w:hint="eastAsia"/>
          <w:sz w:val="18"/>
          <w:szCs w:val="18"/>
        </w:rPr>
        <w:t>近几年，伴随海外业务的不断拓展，公司产品出口量呈逐年上升趋势，故人民币对国际主要货币的汇率大幅或持续性波动给公司带来的汇兑损益，可能对公司利润产生一定影响，公司将运用金融市场工具来降低汇率波动产生的汇兑损失风险。</w:t>
      </w:r>
    </w:p>
    <w:p w:rsidR="00BA0365" w:rsidRDefault="008D4B2E">
      <w:pPr>
        <w:pStyle w:val="2"/>
        <w:spacing w:before="300" w:after="300" w:line="320" w:lineRule="exact"/>
        <w:rPr>
          <w:rFonts w:ascii="宋体" w:eastAsia="宋体" w:hAnsi="宋体" w:cs="宋体"/>
          <w:b/>
          <w:bCs/>
          <w:sz w:val="24"/>
          <w:szCs w:val="24"/>
        </w:rPr>
      </w:pPr>
      <w:bookmarkStart w:id="53" w:name="_Toc988942"/>
      <w:r>
        <w:rPr>
          <w:rFonts w:ascii="宋体" w:eastAsia="宋体" w:hAnsi="宋体" w:cs="宋体"/>
          <w:b/>
          <w:bCs/>
          <w:sz w:val="24"/>
          <w:szCs w:val="24"/>
        </w:rPr>
        <w:t>十二、报告期内接待调研、沟通、采访等活动</w:t>
      </w:r>
      <w:bookmarkEnd w:id="5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990"/>
        <w:gridCol w:w="2662"/>
        <w:gridCol w:w="1134"/>
        <w:gridCol w:w="1023"/>
        <w:gridCol w:w="709"/>
        <w:gridCol w:w="1559"/>
        <w:gridCol w:w="1562"/>
      </w:tblGrid>
      <w:tr w:rsidR="00157EA0" w:rsidTr="007370FD">
        <w:trPr>
          <w:trHeight w:val="240"/>
        </w:trPr>
        <w:tc>
          <w:tcPr>
            <w:tcW w:w="99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接待时间</w:t>
            </w:r>
          </w:p>
        </w:tc>
        <w:tc>
          <w:tcPr>
            <w:tcW w:w="266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接待地点</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接待方式</w:t>
            </w:r>
          </w:p>
        </w:tc>
        <w:tc>
          <w:tcPr>
            <w:tcW w:w="102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接待对象类型</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接待对象</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谈论的主要内容及提供的资料</w:t>
            </w:r>
          </w:p>
        </w:tc>
        <w:tc>
          <w:tcPr>
            <w:tcW w:w="156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调研的基本情况索引</w:t>
            </w:r>
          </w:p>
        </w:tc>
      </w:tr>
      <w:tr w:rsidR="00157EA0" w:rsidTr="007370FD">
        <w:trPr>
          <w:trHeight w:val="240"/>
        </w:trPr>
        <w:tc>
          <w:tcPr>
            <w:tcW w:w="99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2023年04月27日</w:t>
            </w:r>
          </w:p>
        </w:tc>
        <w:tc>
          <w:tcPr>
            <w:tcW w:w="26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深圳证券交易所“互动易平台”http://irm.cninfo.com.cn“云访谈”栏目</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网络平台线上交流</w:t>
            </w:r>
          </w:p>
        </w:tc>
        <w:tc>
          <w:tcPr>
            <w:tcW w:w="102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个人</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公司战略、内部管理及运营情况</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2023年度业绩说明会</w:t>
            </w:r>
          </w:p>
        </w:tc>
      </w:tr>
      <w:tr w:rsidR="00157EA0" w:rsidTr="007370FD">
        <w:trPr>
          <w:trHeight w:val="240"/>
        </w:trPr>
        <w:tc>
          <w:tcPr>
            <w:tcW w:w="99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2023年11月08日</w:t>
            </w:r>
          </w:p>
        </w:tc>
        <w:tc>
          <w:tcPr>
            <w:tcW w:w="26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深圳市全景网络有限公司提供的“全景路演”（http://rs.p5w.net/）平台</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网络平台线上交流</w:t>
            </w:r>
          </w:p>
        </w:tc>
        <w:tc>
          <w:tcPr>
            <w:tcW w:w="102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个人</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公司战略、内部管理及运营情况</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2023年青岛辖区上市公司投资者集体接待日</w:t>
            </w:r>
          </w:p>
        </w:tc>
      </w:tr>
    </w:tbl>
    <w:p w:rsidR="00BA0365" w:rsidRDefault="008D4B2E">
      <w:pPr>
        <w:pStyle w:val="2"/>
        <w:spacing w:before="300" w:after="300" w:line="320" w:lineRule="exact"/>
        <w:rPr>
          <w:rFonts w:ascii="宋体" w:eastAsia="宋体" w:hAnsi="宋体" w:cs="宋体"/>
          <w:b/>
          <w:bCs/>
          <w:sz w:val="24"/>
          <w:szCs w:val="24"/>
        </w:rPr>
      </w:pPr>
      <w:bookmarkStart w:id="54" w:name="_Toc988943"/>
      <w:r>
        <w:rPr>
          <w:rFonts w:ascii="宋体" w:eastAsia="宋体" w:hAnsi="宋体" w:cs="宋体"/>
          <w:b/>
          <w:bCs/>
          <w:sz w:val="24"/>
          <w:szCs w:val="24"/>
        </w:rPr>
        <w:t>十三、“质量回报双提升”行动方案贯彻落实情况</w:t>
      </w:r>
      <w:bookmarkEnd w:id="5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公司是否披露了“质量回报双提升”行动方案。</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55" w:name="_Toc988944"/>
      <w:r>
        <w:rPr>
          <w:rFonts w:ascii="宋体" w:eastAsia="宋体" w:hAnsi="宋体" w:cs="宋体"/>
          <w:b/>
          <w:bCs/>
          <w:sz w:val="32"/>
          <w:szCs w:val="32"/>
        </w:rPr>
        <w:lastRenderedPageBreak/>
        <w:t>第四节 公司治理</w:t>
      </w:r>
      <w:bookmarkEnd w:id="55"/>
    </w:p>
    <w:p w:rsidR="00BA0365" w:rsidRDefault="008D4B2E">
      <w:pPr>
        <w:pStyle w:val="2"/>
        <w:spacing w:before="300" w:after="300" w:line="320" w:lineRule="exact"/>
        <w:rPr>
          <w:rFonts w:ascii="宋体" w:eastAsia="宋体" w:hAnsi="宋体" w:cs="宋体"/>
          <w:b/>
          <w:bCs/>
          <w:sz w:val="24"/>
          <w:szCs w:val="24"/>
        </w:rPr>
      </w:pPr>
      <w:bookmarkStart w:id="56" w:name="_Toc988945"/>
      <w:r>
        <w:rPr>
          <w:rFonts w:ascii="宋体" w:eastAsia="宋体" w:hAnsi="宋体" w:cs="宋体"/>
          <w:b/>
          <w:bCs/>
          <w:sz w:val="24"/>
          <w:szCs w:val="24"/>
        </w:rPr>
        <w:t>一、公司治理的基本状况</w:t>
      </w:r>
      <w:bookmarkEnd w:id="56"/>
    </w:p>
    <w:p w:rsidR="00595F61" w:rsidRDefault="008D4B2E" w:rsidP="00595F61">
      <w:pPr>
        <w:pStyle w:val="a3"/>
        <w:spacing w:before="0" w:beforeAutospacing="0" w:after="0" w:afterAutospacing="0"/>
        <w:ind w:firstLine="420"/>
        <w:divId w:val="177543784"/>
        <w:rPr>
          <w:kern w:val="2"/>
          <w:sz w:val="18"/>
          <w:szCs w:val="18"/>
        </w:rPr>
      </w:pPr>
      <w:r w:rsidRPr="00595F61">
        <w:rPr>
          <w:rFonts w:hint="eastAsia"/>
          <w:kern w:val="2"/>
          <w:sz w:val="18"/>
          <w:szCs w:val="18"/>
        </w:rPr>
        <w:t>报告期内，公司严格按照《公司法》《证券法》《上市公司治理准则》《深圳证券交易所股票上市规则》及中国证监会、深交所发布的有关上市公司治理的规范性文件要求，不断完善公司治理结构，建立健全内部控制体系，稳步提升信息披露和投资者关系管理工作，并进一步规范公司运作，努力提高公司治理水平。</w:t>
      </w:r>
    </w:p>
    <w:p w:rsid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1</w:t>
      </w:r>
      <w:r w:rsidRPr="00595F61">
        <w:rPr>
          <w:rFonts w:hint="eastAsia"/>
          <w:kern w:val="2"/>
          <w:sz w:val="18"/>
          <w:szCs w:val="18"/>
        </w:rPr>
        <w:t>、关于股东与股东大会：股东大会是公司最高权力机构。报告期内公司共召开4次股东大会，会议均采取现场投票和网络投票相结合的方式进行。各次股东大会均按照《公司法》《公司章程》及《股东大会议事规则》的相关规定规范运行，并聘请律师现场全程见证。股东大会对公司聘请会计师事务所、年度利润分配预案、对外担保、股权激励等事项</w:t>
      </w:r>
      <w:proofErr w:type="gramStart"/>
      <w:r w:rsidRPr="00595F61">
        <w:rPr>
          <w:rFonts w:hint="eastAsia"/>
          <w:kern w:val="2"/>
          <w:sz w:val="18"/>
          <w:szCs w:val="18"/>
        </w:rPr>
        <w:t>作出</w:t>
      </w:r>
      <w:proofErr w:type="gramEnd"/>
      <w:r w:rsidRPr="00595F61">
        <w:rPr>
          <w:rFonts w:hint="eastAsia"/>
          <w:kern w:val="2"/>
          <w:sz w:val="18"/>
          <w:szCs w:val="18"/>
        </w:rPr>
        <w:t>有效决议。公司能够确保所有股东享有平等地位并充分行使股东权利。</w:t>
      </w:r>
    </w:p>
    <w:p w:rsid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2</w:t>
      </w:r>
      <w:r w:rsidRPr="00595F61">
        <w:rPr>
          <w:rFonts w:hint="eastAsia"/>
          <w:kern w:val="2"/>
          <w:sz w:val="18"/>
          <w:szCs w:val="18"/>
        </w:rPr>
        <w:t>、关于公司与控股股东：公司控股股东严格根据《上市公司治理准则》《深圳证券交易所股票上市规则》《公司章程》规范股东行为，通过股东大会行使股东权利，未发生超越股东大会及董事会而直接或间接干预公司经营与决策的行为。公司与控股股东、实际控制人及其关联人的人员、资产、财务分开，机构、业务独立，各自独立核算、独立承担责任和风险。公司董事会、监事会和内部机构均独立运作。</w:t>
      </w:r>
    </w:p>
    <w:p w:rsid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3</w:t>
      </w:r>
      <w:r w:rsidRPr="00595F61">
        <w:rPr>
          <w:rFonts w:hint="eastAsia"/>
          <w:kern w:val="2"/>
          <w:sz w:val="18"/>
          <w:szCs w:val="18"/>
        </w:rPr>
        <w:t>、关于董事和董事会：公司董事会设董事</w:t>
      </w:r>
      <w:r w:rsidRPr="00595F61">
        <w:rPr>
          <w:kern w:val="2"/>
          <w:sz w:val="18"/>
          <w:szCs w:val="18"/>
        </w:rPr>
        <w:t>7</w:t>
      </w:r>
      <w:r w:rsidRPr="00595F61">
        <w:rPr>
          <w:rFonts w:hint="eastAsia"/>
          <w:kern w:val="2"/>
          <w:sz w:val="18"/>
          <w:szCs w:val="18"/>
        </w:rPr>
        <w:t>名，其中独立董事</w:t>
      </w:r>
      <w:r w:rsidRPr="00595F61">
        <w:rPr>
          <w:kern w:val="2"/>
          <w:sz w:val="18"/>
          <w:szCs w:val="18"/>
        </w:rPr>
        <w:t>3</w:t>
      </w:r>
      <w:r w:rsidRPr="00595F61">
        <w:rPr>
          <w:rFonts w:hint="eastAsia"/>
          <w:kern w:val="2"/>
          <w:sz w:val="18"/>
          <w:szCs w:val="18"/>
        </w:rPr>
        <w:t>名（包括一名会计专业人士），董事会的人数和构成符合有关法律、法规的要求。报告期内公司共召开10次董事会，均能按照《公司章程》《公司董事会议事规则》《公司独立董事工作制度》《公司独立董事专门会议工作制度》的相关规定规范运行。各位董事均按要求出席董事会，关注董事会审议事项的决策程序，特别关注相关事项的提议程序、决策权限、表决程序和回避事宜，认真审议各项议案，勤勉尽责。独立董事独立公正地履行职责，不受上市公司主要股东、实际控制人或其他与公司存在利害关系的单位和个人的影响，切实维护上市公司和全体股东的利益。董事会下设薪酬与考核委员会、战略委员会、提名委员会和审计委员会作为董事会常设机构，一方面提高了董事会的工作效率，有效发挥其功能，另一方面也提高了董事会的专业化程度，保障了董事会决策的科学性和程序性，维护了公司整体利益和中小股东利益。</w:t>
      </w:r>
    </w:p>
    <w:p w:rsid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4</w:t>
      </w:r>
      <w:r w:rsidRPr="00595F61">
        <w:rPr>
          <w:rFonts w:hint="eastAsia"/>
          <w:kern w:val="2"/>
          <w:sz w:val="18"/>
          <w:szCs w:val="18"/>
        </w:rPr>
        <w:t>、关于监事和监事会：公司监事会设监事</w:t>
      </w:r>
      <w:r w:rsidRPr="00595F61">
        <w:rPr>
          <w:kern w:val="2"/>
          <w:sz w:val="18"/>
          <w:szCs w:val="18"/>
        </w:rPr>
        <w:t>3</w:t>
      </w:r>
      <w:r w:rsidRPr="00595F61">
        <w:rPr>
          <w:rFonts w:hint="eastAsia"/>
          <w:kern w:val="2"/>
          <w:sz w:val="18"/>
          <w:szCs w:val="18"/>
        </w:rPr>
        <w:t>名，其中职工监事</w:t>
      </w:r>
      <w:r w:rsidRPr="00595F61">
        <w:rPr>
          <w:kern w:val="2"/>
          <w:sz w:val="18"/>
          <w:szCs w:val="18"/>
        </w:rPr>
        <w:t>1</w:t>
      </w:r>
      <w:r w:rsidRPr="00595F61">
        <w:rPr>
          <w:rFonts w:hint="eastAsia"/>
          <w:kern w:val="2"/>
          <w:sz w:val="18"/>
          <w:szCs w:val="18"/>
        </w:rPr>
        <w:t>名，监事会的人数和构成符合有关法律、法规的要求。公司监事会应当向全体股东负责，对公司财务以及公司董事、总裁及其他高级管理人员履行职责的合法合</w:t>
      </w:r>
      <w:proofErr w:type="gramStart"/>
      <w:r w:rsidRPr="00595F61">
        <w:rPr>
          <w:rFonts w:hint="eastAsia"/>
          <w:kern w:val="2"/>
          <w:sz w:val="18"/>
          <w:szCs w:val="18"/>
        </w:rPr>
        <w:t>规</w:t>
      </w:r>
      <w:proofErr w:type="gramEnd"/>
      <w:r w:rsidRPr="00595F61">
        <w:rPr>
          <w:rFonts w:hint="eastAsia"/>
          <w:kern w:val="2"/>
          <w:sz w:val="18"/>
          <w:szCs w:val="18"/>
        </w:rPr>
        <w:t>性进行监督，维护公司及股东的合法权益。报告期内公司共召开10次监事会，均能按照《公司章程》《公司监事会议事规则》的相关规定规范运行。公司监事能够本着对股东负责的态度，认真履行监事职责。</w:t>
      </w:r>
    </w:p>
    <w:p w:rsid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5</w:t>
      </w:r>
      <w:r w:rsidRPr="00595F61">
        <w:rPr>
          <w:rFonts w:hint="eastAsia"/>
          <w:kern w:val="2"/>
          <w:sz w:val="18"/>
          <w:szCs w:val="18"/>
        </w:rPr>
        <w:t>、关于信息披露及透明度：公司根据《公司章程》《深圳证券交易所股票上市规则》和中国证监会及深交所的相关法律法规的要求，认真履行信息披露义务，真实、准确、及时、完整地披露有关信息。公司制定《信息披露制度》《投资者关系管理制度》《外部信息报送和使用管理制度》和《年报披露重大差错责任追究制度》等一系列信息披露相关的制度，并指定董事会秘书负责信息披露工作、接待股东来访和咨询，确保真实、准确、完整、及时地披露信息。协调公司与投资者的关系，接待股东来访，并根据制度要求披露《投资者关系活动纪录表》。通过业绩说明会、上市公司投资者网上集体接待日、及时回复投资者关系互动平台的问题，确保所有投资者可以平等地获取同一信息。</w:t>
      </w:r>
    </w:p>
    <w:p w:rsidR="00595F61" w:rsidRPr="00595F61" w:rsidRDefault="008D4B2E" w:rsidP="00595F61">
      <w:pPr>
        <w:pStyle w:val="a3"/>
        <w:spacing w:before="0" w:beforeAutospacing="0" w:after="0" w:afterAutospacing="0"/>
        <w:ind w:firstLine="420"/>
        <w:divId w:val="177543784"/>
        <w:rPr>
          <w:kern w:val="2"/>
          <w:sz w:val="18"/>
          <w:szCs w:val="18"/>
        </w:rPr>
      </w:pPr>
      <w:r w:rsidRPr="00595F61">
        <w:rPr>
          <w:kern w:val="2"/>
          <w:sz w:val="18"/>
          <w:szCs w:val="18"/>
        </w:rPr>
        <w:t>6</w:t>
      </w:r>
      <w:r w:rsidRPr="00595F61">
        <w:rPr>
          <w:rFonts w:hint="eastAsia"/>
          <w:kern w:val="2"/>
          <w:sz w:val="18"/>
          <w:szCs w:val="18"/>
        </w:rPr>
        <w:t>、关于相关利益者：公司具有较强的社会责任感，充分尊重和维护相关利益者的合法权益，协调平衡公司、股东、员工、社会等各方利益，积极与利益相关者合作，共同推动公司持续、健康的发展。</w:t>
      </w:r>
    </w:p>
    <w:p w:rsidR="008D4B2E" w:rsidRPr="00595F61" w:rsidRDefault="00595F61" w:rsidP="00595F61">
      <w:pPr>
        <w:pStyle w:val="a3"/>
        <w:spacing w:before="0" w:beforeAutospacing="0" w:after="0" w:afterAutospacing="0"/>
        <w:ind w:firstLine="420"/>
        <w:divId w:val="177543784"/>
        <w:rPr>
          <w:kern w:val="2"/>
          <w:sz w:val="18"/>
          <w:szCs w:val="18"/>
        </w:rPr>
      </w:pPr>
      <w:r w:rsidRPr="00595F61">
        <w:rPr>
          <w:kern w:val="2"/>
          <w:sz w:val="18"/>
          <w:szCs w:val="18"/>
        </w:rPr>
        <w:t>7</w:t>
      </w:r>
      <w:r w:rsidRPr="00595F61">
        <w:rPr>
          <w:rFonts w:hint="eastAsia"/>
          <w:kern w:val="2"/>
          <w:sz w:val="18"/>
          <w:szCs w:val="18"/>
        </w:rPr>
        <w:t>、</w:t>
      </w:r>
      <w:r w:rsidR="008D4B2E" w:rsidRPr="00595F61">
        <w:rPr>
          <w:rFonts w:hint="eastAsia"/>
          <w:kern w:val="2"/>
          <w:sz w:val="18"/>
          <w:szCs w:val="18"/>
        </w:rPr>
        <w:t>关于党建工作：公司党委成立于</w:t>
      </w:r>
      <w:r w:rsidR="008D4B2E" w:rsidRPr="00595F61">
        <w:rPr>
          <w:kern w:val="2"/>
          <w:sz w:val="18"/>
          <w:szCs w:val="18"/>
        </w:rPr>
        <w:t>2008</w:t>
      </w:r>
      <w:r w:rsidR="008D4B2E" w:rsidRPr="00595F61">
        <w:rPr>
          <w:rFonts w:hint="eastAsia"/>
          <w:kern w:val="2"/>
          <w:sz w:val="18"/>
          <w:szCs w:val="18"/>
        </w:rPr>
        <w:t>年，公司各部门、事业部、子公司现设</w:t>
      </w:r>
      <w:r w:rsidR="008D4B2E" w:rsidRPr="00595F61">
        <w:rPr>
          <w:kern w:val="2"/>
          <w:sz w:val="18"/>
          <w:szCs w:val="18"/>
        </w:rPr>
        <w:t>20</w:t>
      </w:r>
      <w:r w:rsidR="008D4B2E" w:rsidRPr="00595F61">
        <w:rPr>
          <w:rFonts w:hint="eastAsia"/>
          <w:kern w:val="2"/>
          <w:sz w:val="18"/>
          <w:szCs w:val="18"/>
        </w:rPr>
        <w:t>个支部。2023年，公司党建工作在上级党组织的领导下，强化理论学习、优化工作机制、深化队伍建设，健全工作体系，扎实推进公司高质量发展。2023年，公司党委持续强化党建引领，夯实理论学习基础，认真开展学习贯彻新时代中国特色社会主义思想主题教育，组织理论学习、检视整改，积极参与市、区两</w:t>
      </w:r>
      <w:proofErr w:type="gramStart"/>
      <w:r w:rsidR="008D4B2E" w:rsidRPr="00595F61">
        <w:rPr>
          <w:rFonts w:hint="eastAsia"/>
          <w:kern w:val="2"/>
          <w:sz w:val="18"/>
          <w:szCs w:val="18"/>
        </w:rPr>
        <w:t>级集中</w:t>
      </w:r>
      <w:proofErr w:type="gramEnd"/>
      <w:r w:rsidR="008D4B2E" w:rsidRPr="00595F61">
        <w:rPr>
          <w:rFonts w:hint="eastAsia"/>
          <w:kern w:val="2"/>
          <w:sz w:val="18"/>
          <w:szCs w:val="18"/>
        </w:rPr>
        <w:t>轮训，公司全体党员集中学习和个人自学相结合，完成指定必修课程的学习。开展书记讲党课、党群面对面等特色主题党日，把开展主题教育的着力点放在推动企业经营业绩提升、党员队伍模范作用发挥、为民服务落实保障等工作上，</w:t>
      </w:r>
      <w:proofErr w:type="gramStart"/>
      <w:r w:rsidR="008D4B2E" w:rsidRPr="00595F61">
        <w:rPr>
          <w:rFonts w:hint="eastAsia"/>
          <w:kern w:val="2"/>
          <w:sz w:val="18"/>
          <w:szCs w:val="18"/>
        </w:rPr>
        <w:t>践行</w:t>
      </w:r>
      <w:proofErr w:type="gramEnd"/>
      <w:r w:rsidR="008D4B2E" w:rsidRPr="00595F61">
        <w:rPr>
          <w:rFonts w:hint="eastAsia"/>
          <w:kern w:val="2"/>
          <w:sz w:val="18"/>
          <w:szCs w:val="18"/>
        </w:rPr>
        <w:t>“四下基层”工作方法，建立了党组织与企业、党员与群众的和谐互动关系。2023年通过“志愿服务月”、“廉洁文化月”、“青年文化节”、“党建文化节”的举办，开展学雷锋树新风、党建海报创作、特色主题党日活、</w:t>
      </w:r>
      <w:proofErr w:type="gramStart"/>
      <w:r w:rsidR="008D4B2E" w:rsidRPr="00595F61">
        <w:rPr>
          <w:rFonts w:hint="eastAsia"/>
          <w:kern w:val="2"/>
          <w:sz w:val="18"/>
          <w:szCs w:val="18"/>
        </w:rPr>
        <w:t>廉洁文化</w:t>
      </w:r>
      <w:proofErr w:type="gramEnd"/>
      <w:r w:rsidR="008D4B2E" w:rsidRPr="00595F61">
        <w:rPr>
          <w:rFonts w:hint="eastAsia"/>
          <w:kern w:val="2"/>
          <w:sz w:val="18"/>
          <w:szCs w:val="18"/>
        </w:rPr>
        <w:t>作品展览、清明学英烈事迹、党史知识竞赛、诗歌颂祖国朗诵比赛、前往沂蒙地区开展</w:t>
      </w:r>
      <w:r w:rsidR="008D4B2E" w:rsidRPr="00595F61">
        <w:rPr>
          <w:rFonts w:hint="eastAsia"/>
          <w:kern w:val="2"/>
          <w:sz w:val="18"/>
          <w:szCs w:val="18"/>
        </w:rPr>
        <w:lastRenderedPageBreak/>
        <w:t>“强党性、忆初心”红色学习教育等活动，持续固化企业党建系统工作体系，深入挖掘基层党建工作潜力，认真贯彻落实上级党组织工作部署，稳定推进党政融合工作模式，较好的发挥了党组织在企业中的政治引领和先锋带动作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公司治理的实际状况与法律、行政法规和中国证监会发布的关于上市公司治理的规定是否存在重大差异</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公司治理的实际状况与法律、行政法规和中国证监会发布的关于上市公司治理的规定不存在重大差异。</w:t>
      </w:r>
    </w:p>
    <w:p w:rsidR="00BA0365" w:rsidRDefault="008D4B2E">
      <w:pPr>
        <w:pStyle w:val="2"/>
        <w:spacing w:before="300" w:after="300" w:line="320" w:lineRule="exact"/>
        <w:rPr>
          <w:rFonts w:ascii="宋体" w:eastAsia="宋体" w:hAnsi="宋体" w:cs="宋体"/>
          <w:b/>
          <w:bCs/>
          <w:sz w:val="24"/>
          <w:szCs w:val="24"/>
        </w:rPr>
      </w:pPr>
      <w:bookmarkStart w:id="57" w:name="_Toc988946"/>
      <w:r>
        <w:rPr>
          <w:rFonts w:ascii="宋体" w:eastAsia="宋体" w:hAnsi="宋体" w:cs="宋体"/>
          <w:b/>
          <w:bCs/>
          <w:sz w:val="24"/>
          <w:szCs w:val="24"/>
        </w:rPr>
        <w:t>二、公司相对于控股股东、实际控制人在保证公司资产、人员、财务、机构、业务等方面的独立情况</w:t>
      </w:r>
      <w:bookmarkEnd w:id="57"/>
    </w:p>
    <w:p w:rsidR="00595F61" w:rsidRPr="00595F61" w:rsidRDefault="008D4B2E" w:rsidP="00595F61">
      <w:pPr>
        <w:pStyle w:val="a3"/>
        <w:spacing w:before="0" w:beforeAutospacing="0" w:after="0" w:afterAutospacing="0"/>
        <w:ind w:firstLine="420"/>
        <w:divId w:val="574828007"/>
        <w:rPr>
          <w:kern w:val="2"/>
          <w:sz w:val="18"/>
          <w:szCs w:val="18"/>
        </w:rPr>
      </w:pPr>
      <w:r w:rsidRPr="00595F61">
        <w:rPr>
          <w:rFonts w:hint="eastAsia"/>
          <w:kern w:val="2"/>
          <w:sz w:val="18"/>
          <w:szCs w:val="18"/>
        </w:rPr>
        <w:t>公司自成立以来，严格按照《公司法》《公司章程》和其他规范文件的规定，在业务、人员、资产、机构、财务等方面与控股股东相互独立，公司具有独立完整的业务运作及自主经营能力。</w:t>
      </w:r>
    </w:p>
    <w:p w:rsidR="00595F61" w:rsidRPr="00595F61" w:rsidRDefault="008D4B2E" w:rsidP="00595F61">
      <w:pPr>
        <w:pStyle w:val="a3"/>
        <w:spacing w:before="0" w:beforeAutospacing="0" w:after="0" w:afterAutospacing="0"/>
        <w:ind w:firstLine="420"/>
        <w:divId w:val="574828007"/>
        <w:rPr>
          <w:kern w:val="2"/>
          <w:sz w:val="18"/>
          <w:szCs w:val="18"/>
        </w:rPr>
      </w:pPr>
      <w:r w:rsidRPr="00595F61">
        <w:rPr>
          <w:kern w:val="2"/>
          <w:sz w:val="18"/>
          <w:szCs w:val="18"/>
        </w:rPr>
        <w:t>1</w:t>
      </w:r>
      <w:r w:rsidRPr="00595F61">
        <w:rPr>
          <w:rFonts w:hint="eastAsia"/>
          <w:kern w:val="2"/>
          <w:sz w:val="18"/>
          <w:szCs w:val="18"/>
        </w:rPr>
        <w:t>、业务独立情况：公司业务独立于控股股东及其下属企业，拥有独立完整的供应、生产和销售体系，独立开展业务，不依赖于控股股东或其它任何关联方。</w:t>
      </w:r>
    </w:p>
    <w:p w:rsidR="00595F61" w:rsidRPr="00595F61" w:rsidRDefault="008D4B2E" w:rsidP="00595F61">
      <w:pPr>
        <w:pStyle w:val="a3"/>
        <w:spacing w:before="0" w:beforeAutospacing="0" w:after="0" w:afterAutospacing="0"/>
        <w:ind w:firstLine="420"/>
        <w:divId w:val="574828007"/>
        <w:rPr>
          <w:kern w:val="2"/>
          <w:sz w:val="18"/>
          <w:szCs w:val="18"/>
        </w:rPr>
      </w:pPr>
      <w:r w:rsidRPr="00595F61">
        <w:rPr>
          <w:kern w:val="2"/>
          <w:sz w:val="18"/>
          <w:szCs w:val="18"/>
        </w:rPr>
        <w:t>2</w:t>
      </w:r>
      <w:r w:rsidRPr="00595F61">
        <w:rPr>
          <w:rFonts w:hint="eastAsia"/>
          <w:kern w:val="2"/>
          <w:sz w:val="18"/>
          <w:szCs w:val="18"/>
        </w:rPr>
        <w:t>、人员独立情况：公司人员、劳动、人事及工资完全独立。公司高级管理人员均在公司工作并领取薪酬，未在控股股东及其下属企业担任除董事、监事以外的任何职务和领取报酬。</w:t>
      </w:r>
    </w:p>
    <w:p w:rsidR="00595F61" w:rsidRPr="00595F61" w:rsidRDefault="008D4B2E" w:rsidP="00595F61">
      <w:pPr>
        <w:pStyle w:val="a3"/>
        <w:spacing w:before="0" w:beforeAutospacing="0" w:after="0" w:afterAutospacing="0"/>
        <w:ind w:firstLine="420"/>
        <w:divId w:val="574828007"/>
        <w:rPr>
          <w:kern w:val="2"/>
          <w:sz w:val="18"/>
          <w:szCs w:val="18"/>
        </w:rPr>
      </w:pPr>
      <w:r w:rsidRPr="00595F61">
        <w:rPr>
          <w:kern w:val="2"/>
          <w:sz w:val="18"/>
          <w:szCs w:val="18"/>
        </w:rPr>
        <w:t>3</w:t>
      </w:r>
      <w:r w:rsidRPr="00595F61">
        <w:rPr>
          <w:rFonts w:hint="eastAsia"/>
          <w:kern w:val="2"/>
          <w:sz w:val="18"/>
          <w:szCs w:val="18"/>
        </w:rPr>
        <w:t>、资产独立情况：公司拥有独立于控股股东的生产经营场所，拥有独立的生产系统、辅助生产系统和配套设施、土地使用权、房屋所有权等资产，资产结构独立完整。</w:t>
      </w:r>
    </w:p>
    <w:p w:rsidR="00595F61" w:rsidRPr="00595F61" w:rsidRDefault="00595F61" w:rsidP="00595F61">
      <w:pPr>
        <w:pStyle w:val="a3"/>
        <w:spacing w:before="0" w:beforeAutospacing="0" w:after="0" w:afterAutospacing="0"/>
        <w:ind w:firstLine="420"/>
        <w:divId w:val="574828007"/>
        <w:rPr>
          <w:kern w:val="2"/>
          <w:sz w:val="18"/>
          <w:szCs w:val="18"/>
        </w:rPr>
      </w:pPr>
      <w:r w:rsidRPr="00595F61">
        <w:rPr>
          <w:kern w:val="2"/>
          <w:sz w:val="18"/>
          <w:szCs w:val="18"/>
        </w:rPr>
        <w:t>4</w:t>
      </w:r>
      <w:r w:rsidR="008D4B2E" w:rsidRPr="00595F61">
        <w:rPr>
          <w:rFonts w:hint="eastAsia"/>
          <w:kern w:val="2"/>
          <w:sz w:val="18"/>
          <w:szCs w:val="18"/>
        </w:rPr>
        <w:t>、机构独立情况：公司设立了健全的组织机构体系，内部机构</w:t>
      </w:r>
      <w:r w:rsidRPr="00595F61">
        <w:rPr>
          <w:rFonts w:hint="eastAsia"/>
          <w:kern w:val="2"/>
          <w:sz w:val="18"/>
          <w:szCs w:val="18"/>
        </w:rPr>
        <w:t>完整独立并有效运作，不存在与控股股东或其职能部门之间的从属关系。</w:t>
      </w:r>
    </w:p>
    <w:p w:rsidR="008D4B2E" w:rsidRPr="00595F61" w:rsidRDefault="00595F61" w:rsidP="00595F61">
      <w:pPr>
        <w:pStyle w:val="a3"/>
        <w:spacing w:before="0" w:beforeAutospacing="0" w:after="0" w:afterAutospacing="0"/>
        <w:ind w:firstLine="420"/>
        <w:divId w:val="574828007"/>
      </w:pPr>
      <w:r w:rsidRPr="00595F61">
        <w:rPr>
          <w:rFonts w:hint="eastAsia"/>
          <w:kern w:val="2"/>
          <w:sz w:val="18"/>
          <w:szCs w:val="18"/>
        </w:rPr>
        <w:t>5、</w:t>
      </w:r>
      <w:r w:rsidR="008D4B2E" w:rsidRPr="00595F61">
        <w:rPr>
          <w:rFonts w:hint="eastAsia"/>
          <w:kern w:val="2"/>
          <w:sz w:val="18"/>
          <w:szCs w:val="18"/>
        </w:rPr>
        <w:t>财务独立情况：公司有独立的财务会计部门，独立开设银行账户，独立纳税。按照相关法律法规建立健全了独立的会计核算体系和财务管理制度。</w:t>
      </w:r>
    </w:p>
    <w:p w:rsidR="00BA0365" w:rsidRDefault="008D4B2E">
      <w:pPr>
        <w:pStyle w:val="2"/>
        <w:spacing w:before="300" w:after="300" w:line="320" w:lineRule="exact"/>
        <w:rPr>
          <w:rFonts w:ascii="宋体" w:eastAsia="宋体" w:hAnsi="宋体" w:cs="宋体"/>
          <w:b/>
          <w:bCs/>
          <w:sz w:val="24"/>
          <w:szCs w:val="24"/>
        </w:rPr>
      </w:pPr>
      <w:bookmarkStart w:id="58" w:name="_Toc988947"/>
      <w:r>
        <w:rPr>
          <w:rFonts w:ascii="宋体" w:eastAsia="宋体" w:hAnsi="宋体" w:cs="宋体"/>
          <w:b/>
          <w:bCs/>
          <w:sz w:val="24"/>
          <w:szCs w:val="24"/>
        </w:rPr>
        <w:t>三、同业竞争情况</w:t>
      </w:r>
      <w:bookmarkEnd w:id="58"/>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59" w:name="_Toc988948"/>
      <w:r>
        <w:rPr>
          <w:rFonts w:ascii="宋体" w:eastAsia="宋体" w:hAnsi="宋体" w:cs="宋体"/>
          <w:b/>
          <w:bCs/>
          <w:sz w:val="24"/>
          <w:szCs w:val="24"/>
        </w:rPr>
        <w:t>四、报告期内召开的年度股东大会和临时股东大会的有关情况</w:t>
      </w:r>
      <w:bookmarkEnd w:id="59"/>
    </w:p>
    <w:p w:rsidR="00BA0365" w:rsidRDefault="008D4B2E">
      <w:pPr>
        <w:pStyle w:val="3"/>
        <w:spacing w:line="280" w:lineRule="exact"/>
        <w:jc w:val="left"/>
        <w:rPr>
          <w:rFonts w:ascii="宋体" w:hAnsi="宋体" w:cs="宋体"/>
          <w:b/>
          <w:bCs/>
        </w:rPr>
      </w:pPr>
      <w:bookmarkStart w:id="60" w:name="_Toc988949"/>
      <w:r>
        <w:rPr>
          <w:rFonts w:ascii="宋体" w:hAnsi="宋体" w:cs="宋体"/>
          <w:b/>
          <w:bCs/>
        </w:rPr>
        <w:t>1、本报告期股东大会情况</w:t>
      </w:r>
      <w:bookmarkEnd w:id="60"/>
    </w:p>
    <w:tbl>
      <w:tblPr>
        <w:tblW w:w="9639" w:type="dxa"/>
        <w:tblLayout w:type="fixed"/>
        <w:tblLook w:val="04A0" w:firstRow="1" w:lastRow="0" w:firstColumn="1" w:lastColumn="0" w:noHBand="0" w:noVBand="1"/>
      </w:tblPr>
      <w:tblGrid>
        <w:gridCol w:w="1384"/>
        <w:gridCol w:w="1418"/>
        <w:gridCol w:w="992"/>
        <w:gridCol w:w="1276"/>
        <w:gridCol w:w="1275"/>
        <w:gridCol w:w="3294"/>
      </w:tblGrid>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会议届次</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会议类型</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投资者参与比例</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27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329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会议决议</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2022年度股东大会</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年度股东大会</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18.57%</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127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2023年05月09日</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《2022年度股东大会决议公告》（公告编号：2023-028）详见巨潮资讯网及公司指定的信息披露媒体</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2023年第一次临时股东大会</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19.80%</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2023年08月15日</w:t>
            </w:r>
          </w:p>
        </w:tc>
        <w:tc>
          <w:tcPr>
            <w:tcW w:w="127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2023年08月16日</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《2023年第一次临时股东大会决议公告》（公告编号：2023-045）详见巨潮资讯网及公司指定的信息披露媒体</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2023年第二次临时股东大会</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19.37%</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2023年10月18日</w:t>
            </w:r>
          </w:p>
        </w:tc>
        <w:tc>
          <w:tcPr>
            <w:tcW w:w="127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2023年10月19日</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《2023年第二次临时股东大会决议公告》（公告编号：2023-065）详见巨潮资讯网及公司指定的信息披露媒体</w:t>
            </w:r>
          </w:p>
        </w:tc>
      </w:tr>
      <w:tr w:rsidR="00157EA0" w:rsidTr="00832133">
        <w:trPr>
          <w:trHeight w:val="240"/>
        </w:trPr>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2023年第三次临时股东大会</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临时股东大会</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20.40%</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2023年12月29日</w:t>
            </w:r>
          </w:p>
        </w:tc>
        <w:tc>
          <w:tcPr>
            <w:tcW w:w="127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2023年12月30日</w:t>
            </w:r>
          </w:p>
        </w:tc>
        <w:tc>
          <w:tcPr>
            <w:tcW w:w="32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《2023年第三次临时股东大会决议公告》（公告编号：2023-083）详见巨潮资讯网及公司指定的信息披露媒体</w:t>
            </w:r>
          </w:p>
        </w:tc>
      </w:tr>
    </w:tbl>
    <w:p w:rsidR="00BA0365" w:rsidRDefault="008D4B2E">
      <w:pPr>
        <w:pStyle w:val="3"/>
        <w:spacing w:line="280" w:lineRule="exact"/>
        <w:jc w:val="left"/>
        <w:rPr>
          <w:rFonts w:ascii="宋体" w:hAnsi="宋体" w:cs="宋体"/>
          <w:b/>
          <w:bCs/>
        </w:rPr>
      </w:pPr>
      <w:bookmarkStart w:id="61" w:name="_Toc988950"/>
      <w:r>
        <w:rPr>
          <w:rFonts w:ascii="宋体" w:hAnsi="宋体" w:cs="宋体"/>
          <w:b/>
          <w:bCs/>
        </w:rPr>
        <w:t>2、表决权恢复的优先股股东请求召开临时股东大会</w:t>
      </w:r>
      <w:bookmarkEnd w:id="6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62" w:name="_Toc988951"/>
      <w:r>
        <w:rPr>
          <w:rFonts w:ascii="宋体" w:eastAsia="宋体" w:hAnsi="宋体" w:cs="宋体"/>
          <w:b/>
          <w:bCs/>
          <w:sz w:val="24"/>
          <w:szCs w:val="24"/>
        </w:rPr>
        <w:lastRenderedPageBreak/>
        <w:t>五、董事、监事和高级管理人员情况</w:t>
      </w:r>
      <w:bookmarkEnd w:id="62"/>
    </w:p>
    <w:p w:rsidR="00BA0365" w:rsidRDefault="008D4B2E">
      <w:pPr>
        <w:pStyle w:val="3"/>
        <w:spacing w:line="280" w:lineRule="exact"/>
        <w:jc w:val="left"/>
        <w:rPr>
          <w:rFonts w:ascii="宋体" w:hAnsi="宋体" w:cs="宋体"/>
          <w:b/>
          <w:bCs/>
        </w:rPr>
      </w:pPr>
      <w:bookmarkStart w:id="63" w:name="_Toc988952"/>
      <w:r>
        <w:rPr>
          <w:rFonts w:ascii="宋体" w:hAnsi="宋体" w:cs="宋体"/>
          <w:b/>
          <w:bCs/>
        </w:rPr>
        <w:t>1、基本情况</w:t>
      </w:r>
      <w:bookmarkEnd w:id="63"/>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BA0365" w:rsidTr="00832133">
        <w:trPr>
          <w:trHeight w:val="240"/>
        </w:trPr>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性别</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年龄</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任职状态</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任期起始日期</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任期终止日期</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期初持股数（股）</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本期增持股份数量（股）</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本期减持股份数量（股）</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其他增减变动（股）</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期末持股数（股）</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股份增减变动的原因</w:t>
            </w:r>
          </w:p>
        </w:tc>
      </w:tr>
      <w:tr w:rsidR="00F3790B" w:rsidTr="00832133">
        <w:trPr>
          <w:trHeight w:val="240"/>
        </w:trPr>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49</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董事长</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2021年01月29日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2,000,000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5,000,000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7,000,000</w:t>
            </w:r>
          </w:p>
        </w:tc>
        <w:tc>
          <w:tcPr>
            <w:tcW w:w="741"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股权激励</w:t>
            </w:r>
          </w:p>
        </w:tc>
      </w:tr>
      <w:tr w:rsidR="00F3790B" w:rsidTr="00832133">
        <w:trPr>
          <w:trHeight w:val="240"/>
        </w:trPr>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jc w:val="right"/>
              <w:rPr>
                <w:rFonts w:ascii="宋体" w:eastAsia="宋体" w:hAnsi="宋体" w:cs="宋体"/>
                <w:sz w:val="18"/>
                <w:szCs w:val="18"/>
              </w:rPr>
            </w:pP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董事</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2021年01月29日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rPr>
                <w:rFonts w:ascii="宋体" w:eastAsia="宋体" w:hAnsi="宋体" w:cs="宋体"/>
                <w:sz w:val="18"/>
                <w:szCs w:val="18"/>
              </w:rPr>
            </w:pPr>
          </w:p>
        </w:tc>
      </w:tr>
      <w:tr w:rsidR="00F3790B" w:rsidTr="00832133">
        <w:trPr>
          <w:trHeight w:val="240"/>
        </w:trPr>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jc w:val="right"/>
              <w:rPr>
                <w:rFonts w:ascii="宋体" w:eastAsia="宋体" w:hAnsi="宋体" w:cs="宋体"/>
                <w:sz w:val="18"/>
                <w:szCs w:val="18"/>
              </w:rPr>
            </w:pP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总裁</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2015年10月27日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rPr>
                <w:rFonts w:ascii="宋体" w:eastAsia="宋体" w:hAnsi="宋体" w:cs="宋体"/>
                <w:sz w:val="18"/>
                <w:szCs w:val="18"/>
              </w:rPr>
            </w:pPr>
          </w:p>
        </w:tc>
      </w:tr>
      <w:tr w:rsidR="00F3790B" w:rsidTr="00832133">
        <w:trPr>
          <w:trHeight w:val="240"/>
        </w:trPr>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杨慧丽</w:t>
            </w:r>
          </w:p>
        </w:tc>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董事</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2021年02月24日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1,200,000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2,200,000</w:t>
            </w:r>
          </w:p>
        </w:tc>
        <w:tc>
          <w:tcPr>
            <w:tcW w:w="741"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股权激励</w:t>
            </w:r>
          </w:p>
        </w:tc>
      </w:tr>
      <w:tr w:rsidR="00F3790B" w:rsidTr="00832133">
        <w:trPr>
          <w:trHeight w:val="240"/>
        </w:trPr>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jc w:val="right"/>
              <w:rPr>
                <w:rFonts w:ascii="宋体" w:eastAsia="宋体" w:hAnsi="宋体" w:cs="宋体"/>
                <w:sz w:val="18"/>
                <w:szCs w:val="18"/>
              </w:rPr>
            </w:pP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2020年08月24日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李云涛</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2021年02月24日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w:t>
            </w:r>
          </w:p>
        </w:tc>
      </w:tr>
      <w:tr w:rsidR="00F3790B" w:rsidTr="00832133">
        <w:trPr>
          <w:trHeight w:val="240"/>
        </w:trPr>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张垚</w:t>
            </w:r>
          </w:p>
        </w:tc>
        <w:tc>
          <w:tcPr>
            <w:tcW w:w="742"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36</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董事</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2021年08月26日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1,200,000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Merge w:val="restart"/>
            <w:vAlign w:val="center"/>
          </w:tcPr>
          <w:p w:rsidR="00F3790B" w:rsidRDefault="00F3790B">
            <w:pPr>
              <w:spacing w:line="240" w:lineRule="exact"/>
              <w:jc w:val="right"/>
              <w:rPr>
                <w:rFonts w:ascii="宋体" w:eastAsia="宋体" w:hAnsi="宋体" w:cs="宋体"/>
                <w:sz w:val="18"/>
                <w:szCs w:val="18"/>
              </w:rPr>
            </w:pPr>
            <w:r>
              <w:rPr>
                <w:rFonts w:ascii="宋体" w:eastAsia="宋体" w:hAnsi="宋体" w:cs="宋体"/>
                <w:sz w:val="18"/>
                <w:szCs w:val="18"/>
              </w:rPr>
              <w:t>2,200,000</w:t>
            </w:r>
          </w:p>
        </w:tc>
        <w:tc>
          <w:tcPr>
            <w:tcW w:w="741" w:type="dxa"/>
            <w:vMerge w:val="restart"/>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股权激励</w:t>
            </w:r>
          </w:p>
        </w:tc>
      </w:tr>
      <w:tr w:rsidR="00F3790B" w:rsidTr="00832133">
        <w:trPr>
          <w:trHeight w:val="240"/>
        </w:trPr>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jc w:val="right"/>
              <w:rPr>
                <w:rFonts w:ascii="宋体" w:eastAsia="宋体" w:hAnsi="宋体" w:cs="宋体"/>
                <w:sz w:val="18"/>
                <w:szCs w:val="18"/>
              </w:rPr>
            </w:pP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董事会秘书</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2021年08月26日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rPr>
                <w:rFonts w:ascii="宋体" w:eastAsia="宋体" w:hAnsi="宋体" w:cs="宋体"/>
                <w:sz w:val="18"/>
                <w:szCs w:val="18"/>
              </w:rPr>
            </w:pPr>
          </w:p>
        </w:tc>
      </w:tr>
      <w:tr w:rsidR="00F3790B" w:rsidTr="00832133">
        <w:trPr>
          <w:trHeight w:val="240"/>
        </w:trPr>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rPr>
                <w:rFonts w:ascii="宋体" w:eastAsia="宋体" w:hAnsi="宋体" w:cs="宋体"/>
                <w:sz w:val="18"/>
                <w:szCs w:val="18"/>
              </w:rPr>
            </w:pPr>
          </w:p>
        </w:tc>
        <w:tc>
          <w:tcPr>
            <w:tcW w:w="742" w:type="dxa"/>
            <w:vMerge/>
            <w:vAlign w:val="center"/>
          </w:tcPr>
          <w:p w:rsidR="00F3790B" w:rsidRDefault="00F3790B">
            <w:pPr>
              <w:spacing w:line="240" w:lineRule="exact"/>
              <w:jc w:val="right"/>
              <w:rPr>
                <w:rFonts w:ascii="宋体" w:eastAsia="宋体" w:hAnsi="宋体" w:cs="宋体"/>
                <w:sz w:val="18"/>
                <w:szCs w:val="18"/>
              </w:rPr>
            </w:pP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财务总监</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2020年02月03日</w:t>
            </w:r>
          </w:p>
        </w:tc>
        <w:tc>
          <w:tcPr>
            <w:tcW w:w="741" w:type="dxa"/>
            <w:vAlign w:val="center"/>
          </w:tcPr>
          <w:p w:rsidR="00F3790B" w:rsidRDefault="00F3790B">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jc w:val="right"/>
              <w:rPr>
                <w:rFonts w:ascii="宋体" w:eastAsia="宋体" w:hAnsi="宋体" w:cs="宋体"/>
                <w:sz w:val="18"/>
                <w:szCs w:val="18"/>
              </w:rPr>
            </w:pPr>
          </w:p>
        </w:tc>
        <w:tc>
          <w:tcPr>
            <w:tcW w:w="741" w:type="dxa"/>
            <w:vMerge/>
            <w:vAlign w:val="center"/>
          </w:tcPr>
          <w:p w:rsidR="00F3790B" w:rsidRDefault="00F3790B">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张伟</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w:t>
            </w:r>
            <w:r>
              <w:rPr>
                <w:rFonts w:ascii="宋体" w:eastAsia="宋体" w:hAnsi="宋体" w:cs="宋体"/>
                <w:sz w:val="18"/>
                <w:szCs w:val="18"/>
              </w:rPr>
              <w:lastRenderedPageBreak/>
              <w:t>月27日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2025年05</w:t>
            </w:r>
            <w:r>
              <w:rPr>
                <w:rFonts w:ascii="宋体" w:eastAsia="宋体" w:hAnsi="宋体" w:cs="宋体"/>
                <w:sz w:val="18"/>
                <w:szCs w:val="18"/>
              </w:rPr>
              <w:lastRenderedPageBreak/>
              <w:t>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孙志慧</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离任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2013年04月18日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张秀梅</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李永连</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2020年01月22日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周丹丹</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2012年11月01日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向坤宏</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2011年04月21日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刘峰</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2013年04月18日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鲁丽娜</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2013年04月18日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272,800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272,800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武守涛</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2020年08月24日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王志明</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742"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742"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2020年08月24日</w:t>
            </w:r>
          </w:p>
        </w:tc>
        <w:tc>
          <w:tcPr>
            <w:tcW w:w="74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2025年05月27日</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741" w:type="dxa"/>
            <w:vAlign w:val="center"/>
          </w:tcPr>
          <w:p w:rsidR="00BA0365" w:rsidRDefault="00BA0365">
            <w:pPr>
              <w:spacing w:line="240" w:lineRule="exact"/>
              <w:rPr>
                <w:rFonts w:ascii="宋体" w:eastAsia="宋体" w:hAnsi="宋体" w:cs="宋体"/>
                <w:sz w:val="18"/>
                <w:szCs w:val="18"/>
              </w:rPr>
            </w:pPr>
          </w:p>
        </w:tc>
      </w:tr>
      <w:tr w:rsidR="00BA0365" w:rsidTr="00832133">
        <w:trPr>
          <w:trHeight w:val="240"/>
        </w:trPr>
        <w:tc>
          <w:tcPr>
            <w:tcW w:w="742"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2"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5,672,800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8,000,000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1"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13,672,800</w:t>
            </w:r>
          </w:p>
        </w:tc>
        <w:tc>
          <w:tcPr>
            <w:tcW w:w="74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报告期是否存在任期内董事、监事离任和高级管理人员解聘的情况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8D4B2E" w:rsidRDefault="008D4B2E" w:rsidP="007370FD">
      <w:pPr>
        <w:pStyle w:val="a3"/>
        <w:ind w:firstLineChars="200" w:firstLine="360"/>
        <w:divId w:val="311519910"/>
        <w:rPr>
          <w:sz w:val="18"/>
          <w:szCs w:val="18"/>
        </w:rPr>
      </w:pPr>
      <w:r>
        <w:rPr>
          <w:rFonts w:hint="eastAsia"/>
          <w:sz w:val="18"/>
          <w:szCs w:val="18"/>
        </w:rPr>
        <w:t>因工作调整，孙志慧女士申请辞去公司监事会主席及监事职务，其辞职后仍在公司担任其他职务。《关于公司监事辞职及补选非职工代表监事的公告》详见指定信息披露媒体巨潮资讯网（</w:t>
      </w:r>
      <w:hyperlink r:id="rId8" w:history="1">
        <w:r>
          <w:rPr>
            <w:rStyle w:val="a5"/>
            <w:rFonts w:hint="eastAsia"/>
            <w:sz w:val="18"/>
            <w:szCs w:val="18"/>
          </w:rPr>
          <w:t>www.cninfo.com.cn</w:t>
        </w:r>
      </w:hyperlink>
      <w:r>
        <w:rPr>
          <w:rFonts w:hint="eastAsia"/>
          <w:sz w:val="18"/>
          <w:szCs w:val="18"/>
        </w:rPr>
        <w:t>）及《证券时报》《中国证券报》《上海证券报》《证券日报》。</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公司董事、监事、高级管理人员变动情况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747" w:type="dxa"/>
        <w:tblLayout w:type="fixed"/>
        <w:tblLook w:val="04A0" w:firstRow="1" w:lastRow="0" w:firstColumn="1" w:lastColumn="0" w:noHBand="0" w:noVBand="1"/>
      </w:tblPr>
      <w:tblGrid>
        <w:gridCol w:w="1101"/>
        <w:gridCol w:w="1417"/>
        <w:gridCol w:w="851"/>
        <w:gridCol w:w="1842"/>
        <w:gridCol w:w="4536"/>
      </w:tblGrid>
      <w:tr w:rsidR="00157EA0" w:rsidTr="002A37F5">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担任的职务</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类型</w:t>
            </w:r>
          </w:p>
        </w:tc>
        <w:tc>
          <w:tcPr>
            <w:tcW w:w="18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日期</w:t>
            </w:r>
          </w:p>
        </w:tc>
        <w:tc>
          <w:tcPr>
            <w:tcW w:w="453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原因</w:t>
            </w:r>
          </w:p>
        </w:tc>
      </w:tr>
      <w:tr w:rsidR="00157EA0" w:rsidTr="002A37F5">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孙志慧</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离任</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453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因工作调整，孙志慧女士申请辞去公司监事会主席及监事职务，其辞职后仍在公司担任其他职务。</w:t>
            </w:r>
          </w:p>
        </w:tc>
      </w:tr>
      <w:tr w:rsidR="00157EA0" w:rsidTr="002A37F5">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张秀梅</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被选举</w:t>
            </w:r>
          </w:p>
        </w:tc>
        <w:tc>
          <w:tcPr>
            <w:tcW w:w="18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453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选举张秀梅女士为公司监事会主席及监事，任期自股东大会通过之日起至第八届监事会任期届满之日止</w:t>
            </w:r>
          </w:p>
        </w:tc>
      </w:tr>
    </w:tbl>
    <w:p w:rsidR="00BA0365" w:rsidRDefault="008D4B2E">
      <w:pPr>
        <w:pStyle w:val="3"/>
        <w:spacing w:line="280" w:lineRule="exact"/>
        <w:jc w:val="left"/>
        <w:rPr>
          <w:rFonts w:ascii="宋体" w:hAnsi="宋体" w:cs="宋体"/>
          <w:b/>
          <w:bCs/>
        </w:rPr>
      </w:pPr>
      <w:bookmarkStart w:id="64" w:name="_Toc988953"/>
      <w:r>
        <w:rPr>
          <w:rFonts w:ascii="宋体" w:hAnsi="宋体" w:cs="宋体"/>
          <w:b/>
          <w:bCs/>
        </w:rPr>
        <w:lastRenderedPageBreak/>
        <w:t>2、任职情况</w:t>
      </w:r>
      <w:bookmarkEnd w:id="6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公司现任董事、监事、高级管理人员专业背景、主要工作经历以及目前在公司的主要职责</w:t>
      </w:r>
    </w:p>
    <w:p w:rsidR="008D4B2E" w:rsidRPr="00F3790B" w:rsidRDefault="008D4B2E">
      <w:pPr>
        <w:pStyle w:val="a3"/>
        <w:shd w:val="clear" w:color="auto" w:fill="FFFFFF"/>
        <w:spacing w:before="0" w:beforeAutospacing="0" w:after="0" w:afterAutospacing="0"/>
        <w:divId w:val="144972380"/>
        <w:rPr>
          <w:rFonts w:cs="Arial"/>
          <w:color w:val="000000"/>
          <w:sz w:val="18"/>
          <w:szCs w:val="18"/>
        </w:rPr>
      </w:pPr>
      <w:r w:rsidRPr="00F3790B">
        <w:rPr>
          <w:rFonts w:cs="Arial"/>
          <w:color w:val="000000"/>
          <w:sz w:val="18"/>
          <w:szCs w:val="18"/>
        </w:rPr>
        <w:t>1</w:t>
      </w:r>
      <w:r w:rsidRPr="00F3790B">
        <w:rPr>
          <w:rFonts w:cs="Arial" w:hint="eastAsia"/>
          <w:color w:val="000000"/>
          <w:sz w:val="18"/>
          <w:szCs w:val="18"/>
        </w:rPr>
        <w:t>、董事</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董事长、董事、总裁：官</w:t>
      </w:r>
      <w:proofErr w:type="gramStart"/>
      <w:r w:rsidRPr="00F3790B">
        <w:rPr>
          <w:rFonts w:cs="Arial" w:hint="eastAsia"/>
          <w:color w:val="000000"/>
          <w:sz w:val="18"/>
          <w:szCs w:val="18"/>
        </w:rPr>
        <w:t>炳</w:t>
      </w:r>
      <w:proofErr w:type="gramEnd"/>
      <w:r w:rsidRPr="00F3790B">
        <w:rPr>
          <w:rFonts w:cs="Arial" w:hint="eastAsia"/>
          <w:color w:val="000000"/>
          <w:sz w:val="18"/>
          <w:szCs w:val="18"/>
        </w:rPr>
        <w:t>政先生，中国籍，无境外居留权，</w:t>
      </w:r>
      <w:r w:rsidRPr="00F3790B">
        <w:rPr>
          <w:rFonts w:cs="Arial"/>
          <w:color w:val="000000"/>
          <w:sz w:val="18"/>
          <w:szCs w:val="18"/>
        </w:rPr>
        <w:t>1974</w:t>
      </w:r>
      <w:r w:rsidRPr="00F3790B">
        <w:rPr>
          <w:rFonts w:cs="Arial" w:hint="eastAsia"/>
          <w:color w:val="000000"/>
          <w:sz w:val="18"/>
          <w:szCs w:val="18"/>
        </w:rPr>
        <w:t>年出生，本科。自</w:t>
      </w:r>
      <w:r w:rsidRPr="00F3790B">
        <w:rPr>
          <w:rFonts w:cs="Arial"/>
          <w:color w:val="000000"/>
          <w:sz w:val="18"/>
          <w:szCs w:val="18"/>
        </w:rPr>
        <w:t>1998</w:t>
      </w:r>
      <w:r w:rsidRPr="00F3790B">
        <w:rPr>
          <w:rFonts w:cs="Arial" w:hint="eastAsia"/>
          <w:color w:val="000000"/>
          <w:sz w:val="18"/>
          <w:szCs w:val="18"/>
        </w:rPr>
        <w:t>年加入公司以来，先后担任公司配料系统事业部总经理、市场营销总监、公司副总裁。现任公司董事长、董事、总裁。</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董事、副总裁：杨慧丽女士，中国籍，无境外居留权，</w:t>
      </w:r>
      <w:r w:rsidRPr="00F3790B">
        <w:rPr>
          <w:rFonts w:cs="Arial"/>
          <w:color w:val="000000"/>
          <w:sz w:val="18"/>
          <w:szCs w:val="18"/>
        </w:rPr>
        <w:t>1977</w:t>
      </w:r>
      <w:r w:rsidRPr="00F3790B">
        <w:rPr>
          <w:rFonts w:cs="Arial" w:hint="eastAsia"/>
          <w:color w:val="000000"/>
          <w:sz w:val="18"/>
          <w:szCs w:val="18"/>
        </w:rPr>
        <w:t>年出生，本科。曾任公司技术部经理，战略产品研发部总经理。现任公司研究院院长、半钢成型系统事业部总经理、公司董事、副总裁。</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董事、董事会秘书、财务总监：张垚先生，</w:t>
      </w:r>
      <w:r w:rsidRPr="00F3790B">
        <w:rPr>
          <w:rFonts w:cs="Arial"/>
          <w:color w:val="000000"/>
          <w:sz w:val="18"/>
          <w:szCs w:val="18"/>
        </w:rPr>
        <w:t xml:space="preserve"> </w:t>
      </w:r>
      <w:r w:rsidRPr="00F3790B">
        <w:rPr>
          <w:rFonts w:cs="Arial" w:hint="eastAsia"/>
          <w:color w:val="000000"/>
          <w:sz w:val="18"/>
          <w:szCs w:val="18"/>
        </w:rPr>
        <w:t>中国籍，无境外居留权，</w:t>
      </w:r>
      <w:r w:rsidRPr="00F3790B">
        <w:rPr>
          <w:rFonts w:cs="Arial"/>
          <w:color w:val="000000"/>
          <w:sz w:val="18"/>
          <w:szCs w:val="18"/>
        </w:rPr>
        <w:t>1987</w:t>
      </w:r>
      <w:r w:rsidRPr="00F3790B">
        <w:rPr>
          <w:rFonts w:cs="Arial" w:hint="eastAsia"/>
          <w:color w:val="000000"/>
          <w:sz w:val="18"/>
          <w:szCs w:val="18"/>
        </w:rPr>
        <w:t>年出生，硕士。曾任普华永道中天会计师事务所高级审计员，公司监事会主席、公司证券法</w:t>
      </w:r>
      <w:proofErr w:type="gramStart"/>
      <w:r w:rsidRPr="00F3790B">
        <w:rPr>
          <w:rFonts w:cs="Arial" w:hint="eastAsia"/>
          <w:color w:val="000000"/>
          <w:sz w:val="18"/>
          <w:szCs w:val="18"/>
        </w:rPr>
        <w:t>务</w:t>
      </w:r>
      <w:proofErr w:type="gramEnd"/>
      <w:r w:rsidRPr="00F3790B">
        <w:rPr>
          <w:rFonts w:cs="Arial" w:hint="eastAsia"/>
          <w:color w:val="000000"/>
          <w:sz w:val="18"/>
          <w:szCs w:val="18"/>
        </w:rPr>
        <w:t>部、战略发展部经理。现任公司董事、董事会秘书、财务总监。</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董事：李云涛先生，中国籍，无境外居留权，</w:t>
      </w:r>
      <w:r w:rsidRPr="00F3790B">
        <w:rPr>
          <w:rFonts w:cs="Arial"/>
          <w:color w:val="000000"/>
          <w:sz w:val="18"/>
          <w:szCs w:val="18"/>
        </w:rPr>
        <w:t>1981</w:t>
      </w:r>
      <w:r w:rsidRPr="00F3790B">
        <w:rPr>
          <w:rFonts w:cs="Arial" w:hint="eastAsia"/>
          <w:color w:val="000000"/>
          <w:sz w:val="18"/>
          <w:szCs w:val="18"/>
        </w:rPr>
        <w:t>年出生，硕士。</w:t>
      </w:r>
      <w:r w:rsidRPr="00F3790B">
        <w:rPr>
          <w:rFonts w:cs="Arial"/>
          <w:color w:val="000000"/>
          <w:sz w:val="18"/>
          <w:szCs w:val="18"/>
        </w:rPr>
        <w:t>2006</w:t>
      </w:r>
      <w:r w:rsidRPr="00F3790B">
        <w:rPr>
          <w:rFonts w:cs="Arial" w:hint="eastAsia"/>
          <w:color w:val="000000"/>
          <w:sz w:val="18"/>
          <w:szCs w:val="18"/>
        </w:rPr>
        <w:t>年加入公司，现任公司董事、抚顺伊科思新材料有限公司总经理。</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独立董事：班耀波先生，中国籍，无境外居留权，1960年出生，博士研究生。曾</w:t>
      </w:r>
      <w:proofErr w:type="gramStart"/>
      <w:r w:rsidRPr="00F3790B">
        <w:rPr>
          <w:rFonts w:cs="Arial" w:hint="eastAsia"/>
          <w:color w:val="000000"/>
          <w:sz w:val="18"/>
          <w:szCs w:val="18"/>
        </w:rPr>
        <w:t>任中融金</w:t>
      </w:r>
      <w:proofErr w:type="gramEnd"/>
      <w:r w:rsidRPr="00F3790B">
        <w:rPr>
          <w:rFonts w:cs="Arial" w:hint="eastAsia"/>
          <w:color w:val="000000"/>
          <w:sz w:val="18"/>
          <w:szCs w:val="18"/>
        </w:rPr>
        <w:t>控（青岛）集团公司董事、总经理。 现担任公司独立董事。</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独立董事：张伟先生，中国籍，无境外居留权，1976年出生，博士研究生。现任青岛科技大学副教授、公司独立董事。</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独立董事：王</w:t>
      </w:r>
      <w:proofErr w:type="gramStart"/>
      <w:r w:rsidRPr="00F3790B">
        <w:rPr>
          <w:rFonts w:cs="Arial" w:hint="eastAsia"/>
          <w:color w:val="000000"/>
          <w:sz w:val="18"/>
          <w:szCs w:val="18"/>
        </w:rPr>
        <w:t>荭</w:t>
      </w:r>
      <w:proofErr w:type="gramEnd"/>
      <w:r w:rsidRPr="00F3790B">
        <w:rPr>
          <w:rFonts w:cs="Arial" w:hint="eastAsia"/>
          <w:color w:val="000000"/>
          <w:sz w:val="18"/>
          <w:szCs w:val="18"/>
        </w:rPr>
        <w:t>女士，中国籍，无境外居留权，1965年出生，博士研究生。现任中国海洋大学管理系教授、公司独立董事。</w:t>
      </w:r>
    </w:p>
    <w:p w:rsidR="008D4B2E" w:rsidRPr="00F3790B" w:rsidRDefault="008D4B2E">
      <w:pPr>
        <w:pStyle w:val="a3"/>
        <w:shd w:val="clear" w:color="auto" w:fill="FFFFFF"/>
        <w:spacing w:before="0" w:beforeAutospacing="0" w:after="0" w:afterAutospacing="0"/>
        <w:divId w:val="144972380"/>
        <w:rPr>
          <w:rFonts w:cs="Arial"/>
          <w:color w:val="000000"/>
          <w:sz w:val="18"/>
          <w:szCs w:val="18"/>
        </w:rPr>
      </w:pPr>
      <w:r w:rsidRPr="00F3790B">
        <w:rPr>
          <w:rFonts w:cs="Arial"/>
          <w:color w:val="000000"/>
          <w:sz w:val="18"/>
          <w:szCs w:val="18"/>
        </w:rPr>
        <w:t>2</w:t>
      </w:r>
      <w:r w:rsidRPr="00F3790B">
        <w:rPr>
          <w:rFonts w:cs="Arial" w:hint="eastAsia"/>
          <w:color w:val="000000"/>
          <w:sz w:val="18"/>
          <w:szCs w:val="18"/>
        </w:rPr>
        <w:t>、监事</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监事会主席：张秀梅女士，中国籍，无境外居留权，1973年出生，大专。先后担任公司采购部财务经理、检测事业部财务经理、</w:t>
      </w:r>
      <w:proofErr w:type="gramStart"/>
      <w:r w:rsidRPr="00F3790B">
        <w:rPr>
          <w:rFonts w:cs="Arial" w:hint="eastAsia"/>
          <w:color w:val="000000"/>
          <w:sz w:val="18"/>
          <w:szCs w:val="18"/>
        </w:rPr>
        <w:t>鼓事业</w:t>
      </w:r>
      <w:proofErr w:type="gramEnd"/>
      <w:r w:rsidRPr="00F3790B">
        <w:rPr>
          <w:rFonts w:cs="Arial" w:hint="eastAsia"/>
          <w:color w:val="000000"/>
          <w:sz w:val="18"/>
          <w:szCs w:val="18"/>
        </w:rPr>
        <w:t>部财务经理。现任公司财务</w:t>
      </w:r>
      <w:proofErr w:type="gramStart"/>
      <w:r w:rsidRPr="00F3790B">
        <w:rPr>
          <w:rFonts w:cs="Arial" w:hint="eastAsia"/>
          <w:color w:val="000000"/>
          <w:sz w:val="18"/>
          <w:szCs w:val="18"/>
        </w:rPr>
        <w:t>部资产</w:t>
      </w:r>
      <w:proofErr w:type="gramEnd"/>
      <w:r w:rsidRPr="00F3790B">
        <w:rPr>
          <w:rFonts w:cs="Arial" w:hint="eastAsia"/>
          <w:color w:val="000000"/>
          <w:sz w:val="18"/>
          <w:szCs w:val="18"/>
        </w:rPr>
        <w:t>管理经理，监事会主席。</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监事：李永连先生，中国籍，无境外居留权，</w:t>
      </w:r>
      <w:r w:rsidRPr="00F3790B">
        <w:rPr>
          <w:rFonts w:cs="Arial"/>
          <w:color w:val="000000"/>
          <w:sz w:val="18"/>
          <w:szCs w:val="18"/>
        </w:rPr>
        <w:t>1977</w:t>
      </w:r>
      <w:r w:rsidRPr="00F3790B">
        <w:rPr>
          <w:rFonts w:cs="Arial" w:hint="eastAsia"/>
          <w:color w:val="000000"/>
          <w:sz w:val="18"/>
          <w:szCs w:val="18"/>
        </w:rPr>
        <w:t>年出生，本科。现任公司全钢系统事业部财务负责人、公司监事。</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监事：周丹丹女士，中国籍，无境外居留权，</w:t>
      </w:r>
      <w:r w:rsidRPr="00F3790B">
        <w:rPr>
          <w:rFonts w:cs="Arial"/>
          <w:color w:val="000000"/>
          <w:sz w:val="18"/>
          <w:szCs w:val="18"/>
        </w:rPr>
        <w:t>1981</w:t>
      </w:r>
      <w:r w:rsidRPr="00F3790B">
        <w:rPr>
          <w:rFonts w:cs="Arial" w:hint="eastAsia"/>
          <w:color w:val="000000"/>
          <w:sz w:val="18"/>
          <w:szCs w:val="18"/>
        </w:rPr>
        <w:t>年出生，本科。现任公司工会主席、公司监事。</w:t>
      </w:r>
    </w:p>
    <w:p w:rsidR="008D4B2E" w:rsidRPr="00F3790B" w:rsidRDefault="008D4B2E">
      <w:pPr>
        <w:pStyle w:val="a3"/>
        <w:shd w:val="clear" w:color="auto" w:fill="FFFFFF"/>
        <w:spacing w:before="0" w:beforeAutospacing="0" w:after="0" w:afterAutospacing="0"/>
        <w:divId w:val="144972380"/>
        <w:rPr>
          <w:rFonts w:cs="Arial"/>
          <w:color w:val="000000"/>
          <w:sz w:val="18"/>
          <w:szCs w:val="18"/>
        </w:rPr>
      </w:pPr>
      <w:r w:rsidRPr="00F3790B">
        <w:rPr>
          <w:rFonts w:cs="Arial"/>
          <w:color w:val="000000"/>
          <w:sz w:val="18"/>
          <w:szCs w:val="18"/>
        </w:rPr>
        <w:t>3</w:t>
      </w:r>
      <w:r w:rsidRPr="00F3790B">
        <w:rPr>
          <w:rFonts w:cs="Arial" w:hint="eastAsia"/>
          <w:color w:val="000000"/>
          <w:sz w:val="18"/>
          <w:szCs w:val="18"/>
        </w:rPr>
        <w:t>、高级管理人员</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董事长、董事、总裁：官</w:t>
      </w:r>
      <w:proofErr w:type="gramStart"/>
      <w:r w:rsidRPr="00F3790B">
        <w:rPr>
          <w:rFonts w:cs="Arial" w:hint="eastAsia"/>
          <w:color w:val="000000"/>
          <w:sz w:val="18"/>
          <w:szCs w:val="18"/>
        </w:rPr>
        <w:t>炳</w:t>
      </w:r>
      <w:proofErr w:type="gramEnd"/>
      <w:r w:rsidRPr="00F3790B">
        <w:rPr>
          <w:rFonts w:cs="Arial" w:hint="eastAsia"/>
          <w:color w:val="000000"/>
          <w:sz w:val="18"/>
          <w:szCs w:val="18"/>
        </w:rPr>
        <w:t>政先生，简历详见</w:t>
      </w:r>
      <w:r w:rsidRPr="00F3790B">
        <w:rPr>
          <w:rFonts w:cs="Arial"/>
          <w:color w:val="000000"/>
          <w:sz w:val="18"/>
          <w:szCs w:val="18"/>
        </w:rPr>
        <w:t>“</w:t>
      </w:r>
      <w:r w:rsidRPr="00F3790B">
        <w:rPr>
          <w:rFonts w:cs="Arial" w:hint="eastAsia"/>
          <w:color w:val="000000"/>
          <w:sz w:val="18"/>
          <w:szCs w:val="18"/>
        </w:rPr>
        <w:t>董事的任职情况</w:t>
      </w:r>
      <w:r w:rsidRPr="00F3790B">
        <w:rPr>
          <w:rFonts w:cs="Arial"/>
          <w:color w:val="000000"/>
          <w:sz w:val="18"/>
          <w:szCs w:val="18"/>
        </w:rPr>
        <w:t>”</w:t>
      </w:r>
      <w:r w:rsidRPr="00F3790B">
        <w:rPr>
          <w:rFonts w:cs="Arial" w:hint="eastAsia"/>
          <w:color w:val="000000"/>
          <w:sz w:val="18"/>
          <w:szCs w:val="18"/>
        </w:rPr>
        <w:t>。</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副总裁：向坤宏先生，中国籍，</w:t>
      </w:r>
      <w:r w:rsidRPr="00F3790B">
        <w:rPr>
          <w:rFonts w:cs="Arial"/>
          <w:color w:val="000000"/>
          <w:sz w:val="18"/>
          <w:szCs w:val="18"/>
        </w:rPr>
        <w:t>1972</w:t>
      </w:r>
      <w:r w:rsidRPr="00F3790B">
        <w:rPr>
          <w:rFonts w:cs="Arial" w:hint="eastAsia"/>
          <w:color w:val="000000"/>
          <w:sz w:val="18"/>
          <w:szCs w:val="18"/>
        </w:rPr>
        <w:t>年出生，无境外居留权，硕士。中国注册会计师，国际注册内部审计师。曾任公司财务管理部副部长、财务管理部部长。现任公司副总裁。</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副总裁：刘峰先生，中国籍，无境外居留权，</w:t>
      </w:r>
      <w:r w:rsidRPr="00F3790B">
        <w:rPr>
          <w:rFonts w:cs="Arial"/>
          <w:color w:val="000000"/>
          <w:sz w:val="18"/>
          <w:szCs w:val="18"/>
        </w:rPr>
        <w:t>1979</w:t>
      </w:r>
      <w:r w:rsidRPr="00F3790B">
        <w:rPr>
          <w:rFonts w:cs="Arial" w:hint="eastAsia"/>
          <w:color w:val="000000"/>
          <w:sz w:val="18"/>
          <w:szCs w:val="18"/>
        </w:rPr>
        <w:t>年出生，本科。曾任公司经营管理中心主任、总裁助理。现任公司副总裁。</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副总裁：鲁丽娜女士，中国籍，无境外居留权，</w:t>
      </w:r>
      <w:r w:rsidRPr="00F3790B">
        <w:rPr>
          <w:rFonts w:cs="Arial"/>
          <w:color w:val="000000"/>
          <w:sz w:val="18"/>
          <w:szCs w:val="18"/>
        </w:rPr>
        <w:t>1979</w:t>
      </w:r>
      <w:r w:rsidRPr="00F3790B">
        <w:rPr>
          <w:rFonts w:cs="Arial" w:hint="eastAsia"/>
          <w:color w:val="000000"/>
          <w:sz w:val="18"/>
          <w:szCs w:val="18"/>
        </w:rPr>
        <w:t>年出生，研究生。曾任公司资本与规划发展部部长助理、副部长。现任公司副总裁。</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副总裁：武守涛先生，中国籍，无境外居留权，1981年出生，本科。曾任公司成型系统事业部常务副总经理。现任公司副总裁，兼任</w:t>
      </w:r>
      <w:proofErr w:type="gramStart"/>
      <w:r w:rsidRPr="00F3790B">
        <w:rPr>
          <w:rFonts w:cs="Arial" w:hint="eastAsia"/>
          <w:color w:val="000000"/>
          <w:sz w:val="18"/>
          <w:szCs w:val="18"/>
        </w:rPr>
        <w:t>青岛软控机电工程</w:t>
      </w:r>
      <w:proofErr w:type="gramEnd"/>
      <w:r w:rsidRPr="00F3790B">
        <w:rPr>
          <w:rFonts w:cs="Arial" w:hint="eastAsia"/>
          <w:color w:val="000000"/>
          <w:sz w:val="18"/>
          <w:szCs w:val="18"/>
        </w:rPr>
        <w:t>有限公司总经理，全钢成型系统事业部总经理。</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副总裁：王志明先生，中国籍，无境外居留权，1977年出生，本科。曾任公司AI区营销总经理。现任公司副总裁，兼任公司配料系统事业部总经理，营销中心副总监。</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董事、董事会秘书、财务总监：张垚先生，简历详见</w:t>
      </w:r>
      <w:r w:rsidRPr="00F3790B">
        <w:rPr>
          <w:rFonts w:cs="Arial"/>
          <w:color w:val="000000"/>
          <w:sz w:val="18"/>
          <w:szCs w:val="18"/>
        </w:rPr>
        <w:t>“</w:t>
      </w:r>
      <w:r w:rsidRPr="00F3790B">
        <w:rPr>
          <w:rFonts w:cs="Arial" w:hint="eastAsia"/>
          <w:color w:val="000000"/>
          <w:sz w:val="18"/>
          <w:szCs w:val="18"/>
        </w:rPr>
        <w:t>董事的任职情况</w:t>
      </w:r>
      <w:r w:rsidRPr="00F3790B">
        <w:rPr>
          <w:rFonts w:cs="Arial"/>
          <w:color w:val="000000"/>
          <w:sz w:val="18"/>
          <w:szCs w:val="18"/>
        </w:rPr>
        <w:t>”</w:t>
      </w:r>
      <w:r w:rsidRPr="00F3790B">
        <w:rPr>
          <w:rFonts w:cs="Arial" w:hint="eastAsia"/>
          <w:color w:val="000000"/>
          <w:sz w:val="18"/>
          <w:szCs w:val="18"/>
        </w:rPr>
        <w:t>。</w:t>
      </w:r>
    </w:p>
    <w:p w:rsidR="008D4B2E" w:rsidRPr="00F3790B" w:rsidRDefault="008D4B2E">
      <w:pPr>
        <w:pStyle w:val="a3"/>
        <w:shd w:val="clear" w:color="auto" w:fill="FFFFFF"/>
        <w:spacing w:before="0" w:beforeAutospacing="0" w:after="0" w:afterAutospacing="0"/>
        <w:ind w:firstLine="360"/>
        <w:divId w:val="144972380"/>
        <w:rPr>
          <w:rFonts w:cs="Arial"/>
          <w:color w:val="000000"/>
          <w:sz w:val="18"/>
          <w:szCs w:val="18"/>
        </w:rPr>
      </w:pPr>
      <w:r w:rsidRPr="00F3790B">
        <w:rPr>
          <w:rFonts w:cs="Arial" w:hint="eastAsia"/>
          <w:color w:val="000000"/>
          <w:sz w:val="18"/>
          <w:szCs w:val="18"/>
        </w:rPr>
        <w:t>董事、副总裁：杨慧丽女士，简历详见</w:t>
      </w:r>
      <w:r w:rsidRPr="00F3790B">
        <w:rPr>
          <w:rFonts w:cs="Arial"/>
          <w:color w:val="000000"/>
          <w:sz w:val="18"/>
          <w:szCs w:val="18"/>
        </w:rPr>
        <w:t>“</w:t>
      </w:r>
      <w:r w:rsidRPr="00F3790B">
        <w:rPr>
          <w:rFonts w:cs="Arial" w:hint="eastAsia"/>
          <w:color w:val="000000"/>
          <w:sz w:val="18"/>
          <w:szCs w:val="18"/>
        </w:rPr>
        <w:t>董事的任职情况</w:t>
      </w:r>
      <w:r w:rsidRPr="00F3790B">
        <w:rPr>
          <w:rFonts w:cs="Arial"/>
          <w:color w:val="000000"/>
          <w:sz w:val="18"/>
          <w:szCs w:val="18"/>
        </w:rPr>
        <w:t>”</w:t>
      </w:r>
      <w:r w:rsidRPr="00F3790B">
        <w:rPr>
          <w:rFonts w:cs="Arial" w:hint="eastAsia"/>
          <w:color w:val="000000"/>
          <w:sz w:val="18"/>
          <w:szCs w:val="18"/>
        </w:rPr>
        <w:t>。</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在股东单位任职情况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在其他单位任职情况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959"/>
        <w:gridCol w:w="2693"/>
        <w:gridCol w:w="1418"/>
        <w:gridCol w:w="1559"/>
        <w:gridCol w:w="1402"/>
        <w:gridCol w:w="1608"/>
      </w:tblGrid>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任职人员姓名</w:t>
            </w:r>
          </w:p>
        </w:tc>
        <w:tc>
          <w:tcPr>
            <w:tcW w:w="26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其他单位名称</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在其他单位担任的职务</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任期起始日期</w:t>
            </w:r>
          </w:p>
        </w:tc>
        <w:tc>
          <w:tcPr>
            <w:tcW w:w="14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任期终止日期</w:t>
            </w:r>
          </w:p>
        </w:tc>
        <w:tc>
          <w:tcPr>
            <w:tcW w:w="16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在其他单位是否领取报酬津贴</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张伟</w:t>
            </w:r>
          </w:p>
        </w:tc>
        <w:tc>
          <w:tcPr>
            <w:tcW w:w="26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青岛科技大学</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副教授</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402"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6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王</w:t>
            </w:r>
            <w:proofErr w:type="gramStart"/>
            <w:r>
              <w:rPr>
                <w:rFonts w:ascii="宋体" w:eastAsia="宋体" w:hAnsi="宋体" w:cs="宋体"/>
                <w:sz w:val="18"/>
                <w:szCs w:val="18"/>
              </w:rPr>
              <w:t>荭</w:t>
            </w:r>
            <w:proofErr w:type="gramEnd"/>
          </w:p>
        </w:tc>
        <w:tc>
          <w:tcPr>
            <w:tcW w:w="26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中国海洋大学</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教授</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402"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6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26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双星股份有限公司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402"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6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26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中科合成油技术股份有限公司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402"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6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26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山东力久电机股份有限公司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402" w:type="dxa"/>
            <w:tcBorders>
              <w:top w:val="single" w:sz="2" w:space="0" w:color="auto"/>
              <w:left w:val="single" w:sz="2" w:space="0" w:color="auto"/>
              <w:bottom w:val="single" w:sz="2" w:space="0" w:color="auto"/>
              <w:right w:val="single" w:sz="2" w:space="0" w:color="auto"/>
            </w:tcBorders>
            <w:vAlign w:val="center"/>
          </w:tcPr>
          <w:p w:rsidR="00BA0365" w:rsidRDefault="00F3790B">
            <w:pPr>
              <w:spacing w:line="240" w:lineRule="exact"/>
              <w:rPr>
                <w:rFonts w:ascii="宋体" w:eastAsia="宋体" w:hAnsi="宋体" w:cs="宋体"/>
                <w:sz w:val="18"/>
                <w:szCs w:val="18"/>
              </w:rPr>
            </w:pPr>
            <w:r>
              <w:rPr>
                <w:rFonts w:ascii="宋体" w:eastAsia="宋体" w:hAnsi="宋体" w:cs="宋体" w:hint="eastAsia"/>
                <w:sz w:val="18"/>
                <w:szCs w:val="18"/>
              </w:rPr>
              <w:t>-</w:t>
            </w:r>
          </w:p>
        </w:tc>
        <w:tc>
          <w:tcPr>
            <w:tcW w:w="16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F3790B">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在其他单位任职情况的说明</w:t>
            </w:r>
          </w:p>
        </w:tc>
        <w:tc>
          <w:tcPr>
            <w:tcW w:w="8680"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bl>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公司现任及报告期内离任董事、监事和高级管理人员近三年证券监管机构处罚的情况</w:t>
      </w:r>
    </w:p>
    <w:p w:rsidR="00BA0365" w:rsidRPr="007370FD" w:rsidRDefault="008D4B2E">
      <w:pPr>
        <w:spacing w:before="100" w:after="100" w:line="240" w:lineRule="exact"/>
        <w:rPr>
          <w:rFonts w:ascii="宋体" w:eastAsia="宋体" w:hAnsi="宋体" w:cs="宋体"/>
          <w:sz w:val="18"/>
          <w:szCs w:val="18"/>
        </w:rPr>
      </w:pPr>
      <w:r w:rsidRPr="007370FD">
        <w:rPr>
          <w:rFonts w:ascii="宋体" w:eastAsia="宋体" w:hAnsi="宋体" w:cs="宋体"/>
          <w:sz w:val="18"/>
          <w:szCs w:val="18"/>
        </w:rPr>
        <w:sym w:font="Wingdings 2" w:char="F052"/>
      </w:r>
      <w:r w:rsidRPr="007370FD">
        <w:rPr>
          <w:rFonts w:ascii="宋体" w:eastAsia="宋体" w:hAnsi="宋体" w:cs="宋体"/>
          <w:sz w:val="18"/>
          <w:szCs w:val="18"/>
        </w:rPr>
        <w:t>适用 □不适用</w:t>
      </w:r>
    </w:p>
    <w:p w:rsidR="008D4B2E" w:rsidRDefault="008D4B2E" w:rsidP="00F3790B">
      <w:pPr>
        <w:pStyle w:val="a3"/>
        <w:spacing w:before="0" w:beforeAutospacing="0" w:after="0" w:afterAutospacing="0"/>
        <w:ind w:firstLine="360"/>
        <w:divId w:val="1479415760"/>
        <w:rPr>
          <w:sz w:val="18"/>
          <w:szCs w:val="18"/>
        </w:rPr>
      </w:pPr>
      <w:r w:rsidRPr="007370FD">
        <w:rPr>
          <w:rFonts w:cs="Times New Roman" w:hint="eastAsia"/>
          <w:sz w:val="18"/>
          <w:szCs w:val="18"/>
        </w:rPr>
        <w:t>公司于2023年11月收到中国证券监督管理委员会青岛监管局《关于对软控股份有限公司、张垚采取出具警示函措施的决定》（</w:t>
      </w:r>
      <w:r w:rsidRPr="007370FD">
        <w:rPr>
          <w:rFonts w:cs="Times New Roman"/>
          <w:sz w:val="18"/>
          <w:szCs w:val="18"/>
        </w:rPr>
        <w:t>[2023]20</w:t>
      </w:r>
      <w:r w:rsidRPr="007370FD">
        <w:rPr>
          <w:rFonts w:cs="Times New Roman" w:hint="eastAsia"/>
          <w:sz w:val="18"/>
          <w:szCs w:val="18"/>
        </w:rPr>
        <w:t>号，具体内容请详见2023年12月2日公司于深圳证券交易所官方网站及指定媒体披露的《关于收到青岛证监局警示函的公告》（公告编号：2023-075）。</w:t>
      </w:r>
    </w:p>
    <w:p w:rsidR="00BA0365" w:rsidRDefault="008D4B2E">
      <w:pPr>
        <w:pStyle w:val="3"/>
        <w:spacing w:line="280" w:lineRule="exact"/>
        <w:jc w:val="left"/>
        <w:rPr>
          <w:rFonts w:ascii="宋体" w:hAnsi="宋体" w:cs="宋体"/>
          <w:b/>
          <w:bCs/>
        </w:rPr>
      </w:pPr>
      <w:bookmarkStart w:id="65" w:name="_Toc988954"/>
      <w:r>
        <w:rPr>
          <w:rFonts w:ascii="宋体" w:hAnsi="宋体" w:cs="宋体"/>
          <w:b/>
          <w:bCs/>
        </w:rPr>
        <w:t>3、董事、监事、高级管理人员报酬情况</w:t>
      </w:r>
      <w:bookmarkEnd w:id="6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董事、监事、高级管理人员报酬的决策程序、确定依据、实际支付情况</w:t>
      </w:r>
    </w:p>
    <w:p w:rsidR="008D4B2E" w:rsidRDefault="008D4B2E">
      <w:pPr>
        <w:pStyle w:val="a3"/>
        <w:spacing w:before="0" w:beforeAutospacing="0" w:after="0" w:afterAutospacing="0"/>
        <w:ind w:firstLine="360"/>
        <w:divId w:val="345716566"/>
      </w:pPr>
      <w:r>
        <w:rPr>
          <w:rFonts w:hint="eastAsia"/>
          <w:sz w:val="18"/>
          <w:szCs w:val="18"/>
        </w:rPr>
        <w:t>公司董事、监事、高级管理人员报酬的决策程序：董事会薪酬与考核委员会制订和管理公司高级管理人员薪酬方案，评估高级管理人员业绩指标的专门机构，主要负责公司高级管理人员薪酬制度制订、管理与考核的专门机构，向董事会报告工作并对董事会负责。依据相关法律、法规及《公司章程》的规定或董事会授权，薪酬委员会也可以拟订有关董事和非职工代表监事的薪酬制度或薪酬方案。薪酬委员会制定的高级管理人员工作岗位职责、业绩考核体系与业绩考核指标须经公司董事会批准后执行。薪酬委员会拟订的董事和股东代表出任的监事薪酬方案须经董事会审议后报股东大会批准，薪酬委员会制订的高级管理人员薪酬方案直接报董事会批准。</w:t>
      </w:r>
    </w:p>
    <w:p w:rsidR="008D4B2E" w:rsidRDefault="008D4B2E">
      <w:pPr>
        <w:pStyle w:val="a3"/>
        <w:spacing w:before="0" w:beforeAutospacing="0" w:after="0" w:afterAutospacing="0"/>
        <w:ind w:firstLine="360"/>
        <w:divId w:val="345716566"/>
      </w:pPr>
      <w:r>
        <w:rPr>
          <w:rFonts w:hint="eastAsia"/>
          <w:sz w:val="18"/>
          <w:szCs w:val="18"/>
        </w:rPr>
        <w:t>公司董事、监事、高级管理人员报酬的确定依据：在公司任职的内部董事、监事和高级管理人员按其行政岗位职务，根据公司现行的工资制度领取薪酬，高级管理人员实行年薪制、年薪与年度经营指标完成情况挂钩。</w:t>
      </w:r>
    </w:p>
    <w:p w:rsidR="008D4B2E" w:rsidRDefault="008D4B2E">
      <w:pPr>
        <w:pStyle w:val="a3"/>
        <w:spacing w:before="0" w:beforeAutospacing="0" w:after="0" w:afterAutospacing="0"/>
        <w:ind w:firstLine="360"/>
        <w:divId w:val="345716566"/>
      </w:pPr>
      <w:r>
        <w:rPr>
          <w:rFonts w:ascii="Times New Roman" w:hAnsi="Times New Roman" w:cs="Times New Roman"/>
          <w:sz w:val="18"/>
          <w:szCs w:val="18"/>
        </w:rPr>
        <w:t>2023</w:t>
      </w:r>
      <w:r>
        <w:rPr>
          <w:rFonts w:hint="eastAsia"/>
          <w:sz w:val="18"/>
          <w:szCs w:val="18"/>
        </w:rPr>
        <w:t>年</w:t>
      </w:r>
      <w:r>
        <w:rPr>
          <w:rFonts w:ascii="Times New Roman" w:hAnsi="Times New Roman" w:cs="Times New Roman"/>
          <w:sz w:val="18"/>
          <w:szCs w:val="18"/>
        </w:rPr>
        <w:t>4</w:t>
      </w:r>
      <w:r>
        <w:rPr>
          <w:rFonts w:hint="eastAsia"/>
          <w:sz w:val="18"/>
          <w:szCs w:val="18"/>
        </w:rPr>
        <w:t>月10日公司第八届董事会第六次会议、第八届监事会第七次会议审议通过了《关于</w:t>
      </w:r>
      <w:r>
        <w:rPr>
          <w:rFonts w:ascii="Times New Roman" w:hAnsi="Times New Roman" w:cs="Times New Roman"/>
          <w:sz w:val="18"/>
          <w:szCs w:val="18"/>
        </w:rPr>
        <w:t>2023</w:t>
      </w:r>
      <w:r>
        <w:rPr>
          <w:rFonts w:hint="eastAsia"/>
          <w:sz w:val="18"/>
          <w:szCs w:val="18"/>
        </w:rPr>
        <w:t>年度董事及高级管理人员薪酬方案的议案》《关于</w:t>
      </w:r>
      <w:r>
        <w:rPr>
          <w:rFonts w:ascii="Times New Roman" w:hAnsi="Times New Roman" w:cs="Times New Roman"/>
          <w:sz w:val="18"/>
          <w:szCs w:val="18"/>
        </w:rPr>
        <w:t>2023</w:t>
      </w:r>
      <w:r>
        <w:rPr>
          <w:rFonts w:hint="eastAsia"/>
          <w:sz w:val="18"/>
          <w:szCs w:val="18"/>
        </w:rPr>
        <w:t>年度监事薪酬方案的议案》，具体内容详见指定信息披露媒体巨潮资讯网（</w:t>
      </w:r>
      <w:r>
        <w:rPr>
          <w:rFonts w:ascii="Times New Roman" w:hAnsi="Times New Roman" w:cs="Times New Roman"/>
          <w:sz w:val="18"/>
          <w:szCs w:val="18"/>
        </w:rPr>
        <w:t>www.cninfo.com.cn</w:t>
      </w:r>
      <w:r>
        <w:rPr>
          <w:rFonts w:hint="eastAsia"/>
          <w:sz w:val="18"/>
          <w:szCs w:val="18"/>
        </w:rPr>
        <w:t>）及《证券时报》《中国证券报》《上海证券报》《证券日报》。</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公司报告期内董事、监事和高级管理人员报酬情况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Layout w:type="fixed"/>
        <w:tblLook w:val="04A0" w:firstRow="1" w:lastRow="0" w:firstColumn="1" w:lastColumn="0" w:noHBand="0" w:noVBand="1"/>
      </w:tblPr>
      <w:tblGrid>
        <w:gridCol w:w="959"/>
        <w:gridCol w:w="709"/>
        <w:gridCol w:w="992"/>
        <w:gridCol w:w="2848"/>
        <w:gridCol w:w="1377"/>
        <w:gridCol w:w="1377"/>
        <w:gridCol w:w="1377"/>
      </w:tblGrid>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性别</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年龄</w:t>
            </w:r>
          </w:p>
        </w:tc>
        <w:tc>
          <w:tcPr>
            <w:tcW w:w="284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任职状态</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从公司获得的税前报酬总额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是否在公司关联方获取报酬</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董事长、董事、总裁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78.11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杨慧丽</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66.02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李云涛</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9B6868">
            <w:pPr>
              <w:spacing w:line="240" w:lineRule="exact"/>
              <w:jc w:val="right"/>
              <w:rPr>
                <w:rFonts w:ascii="宋体" w:eastAsia="宋体" w:hAnsi="宋体" w:cs="宋体"/>
                <w:sz w:val="18"/>
                <w:szCs w:val="18"/>
              </w:rPr>
            </w:pPr>
            <w:r>
              <w:rPr>
                <w:rFonts w:ascii="宋体" w:eastAsia="宋体" w:hAnsi="宋体" w:cs="宋体"/>
                <w:sz w:val="18"/>
                <w:szCs w:val="18"/>
              </w:rPr>
              <w:t>48.47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董事、董事会秘书、财务总监</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张伟</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独立董事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孙志慧</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离任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rsidP="009B6868">
            <w:pPr>
              <w:spacing w:line="240" w:lineRule="exact"/>
              <w:jc w:val="right"/>
              <w:rPr>
                <w:rFonts w:ascii="宋体" w:eastAsia="宋体" w:hAnsi="宋体" w:cs="宋体"/>
                <w:sz w:val="18"/>
                <w:szCs w:val="18"/>
              </w:rPr>
            </w:pPr>
            <w:r>
              <w:rPr>
                <w:rFonts w:ascii="宋体" w:eastAsia="宋体" w:hAnsi="宋体" w:cs="宋体"/>
                <w:sz w:val="18"/>
                <w:szCs w:val="18"/>
              </w:rPr>
              <w:t>26.</w:t>
            </w:r>
            <w:r w:rsidR="009B6868">
              <w:rPr>
                <w:rFonts w:ascii="宋体" w:eastAsia="宋体" w:hAnsi="宋体" w:cs="宋体"/>
                <w:sz w:val="18"/>
                <w:szCs w:val="18"/>
              </w:rPr>
              <w:t>51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张秀梅</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监事会主席</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rsidP="009B6868">
            <w:pPr>
              <w:spacing w:line="240" w:lineRule="exact"/>
              <w:jc w:val="right"/>
              <w:rPr>
                <w:rFonts w:ascii="宋体" w:eastAsia="宋体" w:hAnsi="宋体" w:cs="宋体"/>
                <w:sz w:val="18"/>
                <w:szCs w:val="18"/>
              </w:rPr>
            </w:pPr>
            <w:r>
              <w:rPr>
                <w:rFonts w:ascii="宋体" w:eastAsia="宋体" w:hAnsi="宋体" w:cs="宋体"/>
                <w:sz w:val="18"/>
                <w:szCs w:val="18"/>
              </w:rPr>
              <w:t>23.</w:t>
            </w:r>
            <w:r w:rsidR="009B6868">
              <w:rPr>
                <w:rFonts w:ascii="宋体" w:eastAsia="宋体" w:hAnsi="宋体" w:cs="宋体"/>
                <w:sz w:val="18"/>
                <w:szCs w:val="18"/>
              </w:rPr>
              <w:t>78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李永连</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9B6868">
            <w:pPr>
              <w:spacing w:line="240" w:lineRule="exact"/>
              <w:jc w:val="right"/>
              <w:rPr>
                <w:rFonts w:ascii="宋体" w:eastAsia="宋体" w:hAnsi="宋体" w:cs="宋体"/>
                <w:sz w:val="18"/>
                <w:szCs w:val="18"/>
              </w:rPr>
            </w:pPr>
            <w:r>
              <w:rPr>
                <w:rFonts w:ascii="宋体" w:eastAsia="宋体" w:hAnsi="宋体" w:cs="宋体"/>
                <w:sz w:val="18"/>
                <w:szCs w:val="18"/>
              </w:rPr>
              <w:t>42.52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周丹丹</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rsidP="009B6868">
            <w:pPr>
              <w:spacing w:line="240" w:lineRule="exact"/>
              <w:jc w:val="right"/>
              <w:rPr>
                <w:rFonts w:ascii="宋体" w:eastAsia="宋体" w:hAnsi="宋体" w:cs="宋体"/>
                <w:sz w:val="18"/>
                <w:szCs w:val="18"/>
              </w:rPr>
            </w:pPr>
            <w:r>
              <w:rPr>
                <w:rFonts w:ascii="宋体" w:eastAsia="宋体" w:hAnsi="宋体" w:cs="宋体"/>
                <w:sz w:val="18"/>
                <w:szCs w:val="18"/>
              </w:rPr>
              <w:t>51.</w:t>
            </w:r>
            <w:r w:rsidR="009B6868">
              <w:rPr>
                <w:rFonts w:ascii="宋体" w:eastAsia="宋体" w:hAnsi="宋体" w:cs="宋体"/>
                <w:sz w:val="18"/>
                <w:szCs w:val="18"/>
              </w:rPr>
              <w:t>40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向坤宏</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刘峰</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鲁丽娜</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女</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武守涛</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65.82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王志明</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w:t>
            </w:r>
          </w:p>
        </w:tc>
        <w:tc>
          <w:tcPr>
            <w:tcW w:w="28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112.62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rsidTr="002A37F5">
        <w:trPr>
          <w:trHeight w:val="240"/>
        </w:trPr>
        <w:tc>
          <w:tcPr>
            <w:tcW w:w="9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84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rsidP="009B6868">
            <w:pPr>
              <w:spacing w:line="240" w:lineRule="exact"/>
              <w:jc w:val="right"/>
              <w:rPr>
                <w:rFonts w:ascii="宋体" w:eastAsia="宋体" w:hAnsi="宋体" w:cs="宋体"/>
                <w:sz w:val="18"/>
                <w:szCs w:val="18"/>
              </w:rPr>
            </w:pPr>
            <w:r>
              <w:rPr>
                <w:rFonts w:ascii="宋体" w:eastAsia="宋体" w:hAnsi="宋体" w:cs="宋体"/>
                <w:sz w:val="18"/>
                <w:szCs w:val="18"/>
              </w:rPr>
              <w:t>80</w:t>
            </w:r>
            <w:r w:rsidR="009B6868">
              <w:rPr>
                <w:rFonts w:ascii="宋体" w:eastAsia="宋体" w:hAnsi="宋体" w:cs="宋体"/>
                <w:sz w:val="18"/>
                <w:szCs w:val="18"/>
              </w:rPr>
              <w:t>7.77</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其他情况说明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66" w:name="_Toc988955"/>
      <w:r>
        <w:rPr>
          <w:rFonts w:ascii="宋体" w:eastAsia="宋体" w:hAnsi="宋体" w:cs="宋体"/>
          <w:b/>
          <w:bCs/>
          <w:sz w:val="24"/>
          <w:szCs w:val="24"/>
        </w:rPr>
        <w:t>六、报告期内董事履行职责的情况</w:t>
      </w:r>
      <w:bookmarkEnd w:id="66"/>
    </w:p>
    <w:p w:rsidR="00BA0365" w:rsidRDefault="008D4B2E">
      <w:pPr>
        <w:pStyle w:val="3"/>
        <w:spacing w:line="280" w:lineRule="exact"/>
        <w:jc w:val="left"/>
        <w:rPr>
          <w:rFonts w:ascii="宋体" w:hAnsi="宋体" w:cs="宋体"/>
          <w:b/>
          <w:bCs/>
        </w:rPr>
      </w:pPr>
      <w:bookmarkStart w:id="67" w:name="_Toc988956"/>
      <w:r>
        <w:rPr>
          <w:rFonts w:ascii="宋体" w:hAnsi="宋体" w:cs="宋体"/>
          <w:b/>
          <w:bCs/>
        </w:rPr>
        <w:t>1、本报告期董事会情况</w:t>
      </w:r>
      <w:bookmarkEnd w:id="67"/>
    </w:p>
    <w:tbl>
      <w:tblPr>
        <w:tblW w:w="9639" w:type="dxa"/>
        <w:tblLayout w:type="fixed"/>
        <w:tblLook w:val="04A0" w:firstRow="1" w:lastRow="0" w:firstColumn="1" w:lastColumn="0" w:noHBand="0" w:noVBand="1"/>
      </w:tblPr>
      <w:tblGrid>
        <w:gridCol w:w="2409"/>
        <w:gridCol w:w="1243"/>
        <w:gridCol w:w="1276"/>
        <w:gridCol w:w="4711"/>
      </w:tblGrid>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会议届次</w:t>
            </w:r>
          </w:p>
        </w:tc>
        <w:tc>
          <w:tcPr>
            <w:tcW w:w="12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471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会议决议</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第八届董事会第六次会议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2023年04月10日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《第八届董事会第六次会议决议公告》（公告编号：2023-003）详见巨潮资讯网及公司指定的信息披露媒体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第八届董事会第七次会议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2023年04月25日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2023年04月26日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《第八届董事会第七次会议决议公告》（公告编号：2023-023）详见巨潮资讯网及公司指定的信息披露媒体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第八届董事会第八次会议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2023年06月29日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2023年06月30日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《第八届董事会第八次会议决议公告》（公告编号：2023-033）详见巨潮资讯网及公司指定的信息披露媒体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第八届董事会第九次会议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2023年07月13日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2023年07月14日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《第八届董事会第九次会议决议公告》（公告编号：2023-036）详见巨潮资讯网及公司指定的信息披露媒体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2023年08月25日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2023年08月28日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《第八届董事会第十次会议决议公告》（公告编号：2023-047）详见巨潮资讯网及公司指定的信息披露媒体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第八届董事会第十一次会议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2023年08月28日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2023年08月30日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《第八届董事会第十一次会议决议公告》（公告编号：2023-052）详见巨潮资讯网及公司指定的信息披露媒体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第八届董事会第十二次会议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2023年09月20日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2023年09月21日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《第八届董事会第十二次会议决议公告》（公告编号：2023-056）详见巨潮资讯网及公司指定的信息披露媒体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第八届董事会第十三次会议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2023年10月23日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2023年10月24日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《第八届董事会第十三次会议决议公告》（公告编号：2023-066）详见巨潮资讯网及公司指定的信息披露媒体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第八届董事会第十四次会议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2023年12月01日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2023年12月02日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《第八届董事会第十四次会议决议公告》（公告编号：2023-072）详见巨潮资讯网及公司指定的信息披露媒体</w:t>
            </w:r>
          </w:p>
        </w:tc>
      </w:tr>
      <w:tr w:rsidR="00157EA0" w:rsidTr="002A37F5">
        <w:trPr>
          <w:trHeight w:val="240"/>
        </w:trPr>
        <w:tc>
          <w:tcPr>
            <w:tcW w:w="24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第八届董事会第十五次会议</w:t>
            </w:r>
          </w:p>
        </w:tc>
        <w:tc>
          <w:tcPr>
            <w:tcW w:w="12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2023年12月13日</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2023年12月14日</w:t>
            </w:r>
          </w:p>
        </w:tc>
        <w:tc>
          <w:tcPr>
            <w:tcW w:w="471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《第八届董事会第十五次会议决议公告》（公告编号：2023-076）详见巨潮资讯网及公司指定的信息披露媒体</w:t>
            </w:r>
          </w:p>
        </w:tc>
      </w:tr>
    </w:tbl>
    <w:p w:rsidR="00BA0365" w:rsidRDefault="008D4B2E">
      <w:pPr>
        <w:pStyle w:val="3"/>
        <w:spacing w:line="280" w:lineRule="exact"/>
        <w:jc w:val="left"/>
        <w:rPr>
          <w:rFonts w:ascii="宋体" w:hAnsi="宋体" w:cs="宋体"/>
          <w:b/>
          <w:bCs/>
        </w:rPr>
      </w:pPr>
      <w:bookmarkStart w:id="68" w:name="_Toc988957"/>
      <w:r>
        <w:rPr>
          <w:rFonts w:ascii="宋体" w:hAnsi="宋体" w:cs="宋体"/>
          <w:b/>
          <w:bCs/>
        </w:rPr>
        <w:t>2、董事出席董事会及股东大会的情况</w:t>
      </w:r>
      <w:bookmarkEnd w:id="68"/>
    </w:p>
    <w:tbl>
      <w:tblPr>
        <w:tblW w:w="9639" w:type="dxa"/>
        <w:tblLayout w:type="fixed"/>
        <w:tblLook w:val="04A0" w:firstRow="1" w:lastRow="0" w:firstColumn="1" w:lastColumn="0" w:noHBand="0" w:noVBand="1"/>
      </w:tblPr>
      <w:tblGrid>
        <w:gridCol w:w="1204"/>
        <w:gridCol w:w="1205"/>
        <w:gridCol w:w="1205"/>
        <w:gridCol w:w="1205"/>
        <w:gridCol w:w="1205"/>
        <w:gridCol w:w="1205"/>
        <w:gridCol w:w="1384"/>
        <w:gridCol w:w="1026"/>
      </w:tblGrid>
      <w:tr w:rsidR="00157EA0">
        <w:trPr>
          <w:trHeight w:val="240"/>
        </w:trPr>
        <w:tc>
          <w:tcPr>
            <w:tcW w:w="9639"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董事出席董事会及股东大会的情况</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董事姓名</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本报告期应参加董事会次数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现场出席董事会次数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以通讯方式参加董事会次数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委托出席董事会次数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缺席董事会次数</w:t>
            </w:r>
          </w:p>
        </w:tc>
        <w:tc>
          <w:tcPr>
            <w:tcW w:w="138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是否连续两次未亲自参加董事会会议</w:t>
            </w:r>
          </w:p>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出席股东大会次数</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李云涛</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杨慧丽</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张伟</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r w:rsidR="00157EA0" w:rsidTr="002A37F5">
        <w:trPr>
          <w:trHeight w:val="240"/>
        </w:trPr>
        <w:tc>
          <w:tcPr>
            <w:tcW w:w="120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38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r>
    </w:tbl>
    <w:p w:rsidR="00F3790B" w:rsidRDefault="008D4B2E" w:rsidP="00F3790B">
      <w:pPr>
        <w:spacing w:before="100" w:after="100" w:line="240" w:lineRule="exact"/>
        <w:rPr>
          <w:rFonts w:ascii="宋体" w:eastAsia="宋体" w:hAnsi="宋体" w:cs="宋体"/>
          <w:sz w:val="18"/>
          <w:szCs w:val="18"/>
        </w:rPr>
      </w:pPr>
      <w:r>
        <w:rPr>
          <w:rFonts w:ascii="宋体" w:eastAsia="宋体" w:hAnsi="宋体" w:cs="宋体"/>
          <w:sz w:val="18"/>
          <w:szCs w:val="18"/>
        </w:rPr>
        <w:t>连续两次未亲自出席董事会的说明</w:t>
      </w:r>
    </w:p>
    <w:p w:rsidR="008D4B2E" w:rsidRPr="00F3790B" w:rsidRDefault="008D4B2E" w:rsidP="00F3790B">
      <w:pPr>
        <w:spacing w:before="100" w:after="100" w:line="240" w:lineRule="exact"/>
        <w:rPr>
          <w:rFonts w:ascii="宋体" w:eastAsia="宋体" w:hAnsi="宋体" w:cs="宋体"/>
          <w:sz w:val="18"/>
          <w:szCs w:val="18"/>
        </w:rPr>
      </w:pPr>
      <w:r>
        <w:rPr>
          <w:rFonts w:hint="eastAsia"/>
          <w:sz w:val="18"/>
          <w:szCs w:val="18"/>
        </w:rPr>
        <w:t>不适用</w:t>
      </w:r>
    </w:p>
    <w:p w:rsidR="00BA0365" w:rsidRDefault="008D4B2E">
      <w:pPr>
        <w:pStyle w:val="3"/>
        <w:spacing w:line="280" w:lineRule="exact"/>
        <w:jc w:val="left"/>
        <w:rPr>
          <w:rFonts w:ascii="宋体" w:hAnsi="宋体" w:cs="宋体"/>
          <w:b/>
          <w:bCs/>
        </w:rPr>
      </w:pPr>
      <w:bookmarkStart w:id="69" w:name="_Toc988958"/>
      <w:r>
        <w:rPr>
          <w:rFonts w:ascii="宋体" w:hAnsi="宋体" w:cs="宋体"/>
          <w:b/>
          <w:bCs/>
        </w:rPr>
        <w:t>3、董事对公司有关事项提出异议的情况</w:t>
      </w:r>
      <w:bookmarkEnd w:id="6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董事对公司有关事项是否提出异议</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报告期内董事对公司有关事项未提出异议。</w:t>
      </w:r>
    </w:p>
    <w:p w:rsidR="00BA0365" w:rsidRDefault="008D4B2E">
      <w:pPr>
        <w:pStyle w:val="3"/>
        <w:spacing w:line="280" w:lineRule="exact"/>
        <w:jc w:val="left"/>
        <w:rPr>
          <w:rFonts w:ascii="宋体" w:hAnsi="宋体" w:cs="宋体"/>
          <w:b/>
          <w:bCs/>
        </w:rPr>
      </w:pPr>
      <w:bookmarkStart w:id="70" w:name="_Toc988959"/>
      <w:r>
        <w:rPr>
          <w:rFonts w:ascii="宋体" w:hAnsi="宋体" w:cs="宋体"/>
          <w:b/>
          <w:bCs/>
        </w:rPr>
        <w:lastRenderedPageBreak/>
        <w:t>4、董事履行职责的其他说明</w:t>
      </w:r>
      <w:bookmarkEnd w:id="7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董事对公司有关建议是否被采纳</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董事对公司有关建议被采纳或未被采纳的说明</w:t>
      </w:r>
    </w:p>
    <w:p w:rsidR="008D4B2E" w:rsidRDefault="008D4B2E">
      <w:pPr>
        <w:pStyle w:val="a3"/>
        <w:spacing w:before="0" w:beforeAutospacing="0" w:after="0" w:afterAutospacing="0"/>
        <w:ind w:firstLine="360"/>
        <w:divId w:val="881408707"/>
      </w:pPr>
      <w:r>
        <w:rPr>
          <w:rFonts w:hint="eastAsia"/>
          <w:sz w:val="18"/>
          <w:szCs w:val="18"/>
        </w:rPr>
        <w:t>公司董事会董事均能按照《公司章程》《公司董事会议事规则》《公司独立董事工作制度》《独立董事专门会议工作制度》的相关规定规范运行。各位董事均按要求出席董事会，关注董事会审议事项的决策程序，特别关注相关事项的提议程序、决策权限、表决程序和回避事宜，认真审议各项议案，勤勉尽责。</w:t>
      </w:r>
    </w:p>
    <w:p w:rsidR="00BA0365" w:rsidRDefault="008D4B2E">
      <w:pPr>
        <w:pStyle w:val="2"/>
        <w:spacing w:before="300" w:after="300" w:line="320" w:lineRule="exact"/>
        <w:rPr>
          <w:rFonts w:ascii="宋体" w:eastAsia="宋体" w:hAnsi="宋体" w:cs="宋体"/>
          <w:b/>
          <w:bCs/>
          <w:sz w:val="24"/>
          <w:szCs w:val="24"/>
        </w:rPr>
      </w:pPr>
      <w:bookmarkStart w:id="71" w:name="_Toc988960"/>
      <w:r>
        <w:rPr>
          <w:rFonts w:ascii="宋体" w:eastAsia="宋体" w:hAnsi="宋体" w:cs="宋体"/>
          <w:b/>
          <w:bCs/>
          <w:sz w:val="24"/>
          <w:szCs w:val="24"/>
        </w:rPr>
        <w:t>七、董事会下设专门委员会在报告期内的情况</w:t>
      </w:r>
      <w:bookmarkEnd w:id="71"/>
    </w:p>
    <w:tbl>
      <w:tblPr>
        <w:tblW w:w="9639" w:type="dxa"/>
        <w:tblLayout w:type="fixed"/>
        <w:tblLook w:val="04A0" w:firstRow="1" w:lastRow="0" w:firstColumn="1" w:lastColumn="0" w:noHBand="0" w:noVBand="1"/>
      </w:tblPr>
      <w:tblGrid>
        <w:gridCol w:w="1204"/>
        <w:gridCol w:w="1205"/>
        <w:gridCol w:w="1205"/>
        <w:gridCol w:w="1205"/>
        <w:gridCol w:w="1205"/>
        <w:gridCol w:w="1205"/>
        <w:gridCol w:w="1205"/>
        <w:gridCol w:w="1205"/>
      </w:tblGrid>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委员会名称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成员情况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召开会议次数</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召开日期</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会议内容</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提出的重要意见和建议</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其他履行职责的情况</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异议事项具体情况（如有）</w:t>
            </w:r>
          </w:p>
        </w:tc>
      </w:tr>
      <w:tr w:rsidR="00157EA0">
        <w:trPr>
          <w:trHeight w:val="240"/>
        </w:trPr>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r>
              <w:rPr>
                <w:rFonts w:ascii="宋体" w:eastAsia="宋体" w:hAnsi="宋体" w:cs="宋体"/>
                <w:sz w:val="18"/>
                <w:szCs w:val="18"/>
              </w:rPr>
              <w:t>、张伟、张垚、李云涛</w:t>
            </w:r>
          </w:p>
        </w:tc>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2023年04月07日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审议了《关于公司2022年年度报告的议案》《关于公司内审部2022年审计报告的议案》《关于公司续聘中兴华会计师事务所（特殊普通合伙）为公司2023年度审计机构的议案》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r>
              <w:rPr>
                <w:rFonts w:ascii="宋体" w:eastAsia="宋体" w:hAnsi="宋体" w:cs="宋体"/>
                <w:sz w:val="18"/>
                <w:szCs w:val="18"/>
              </w:rPr>
              <w:t>、张伟、张垚、李云涛</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2023年04月24日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《关于公司2023年第一季度报告的议案》《关于公司内审部2023年第一季度审计报告的议案》。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r>
              <w:rPr>
                <w:rFonts w:ascii="宋体" w:eastAsia="宋体" w:hAnsi="宋体" w:cs="宋体"/>
                <w:sz w:val="18"/>
                <w:szCs w:val="18"/>
              </w:rPr>
              <w:t>、张伟、张垚、李云涛</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2023年08月24日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审议了《关于公司2023年半年度报告的议案》《关于公司内审部2023年半年度审计报告的议案》。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审计委员会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w:t>
            </w:r>
            <w:proofErr w:type="gramStart"/>
            <w:r>
              <w:rPr>
                <w:rFonts w:ascii="宋体" w:eastAsia="宋体" w:hAnsi="宋体" w:cs="宋体"/>
                <w:sz w:val="18"/>
                <w:szCs w:val="18"/>
              </w:rPr>
              <w:t>荭</w:t>
            </w:r>
            <w:proofErr w:type="gramEnd"/>
            <w:r>
              <w:rPr>
                <w:rFonts w:ascii="宋体" w:eastAsia="宋体" w:hAnsi="宋体" w:cs="宋体"/>
                <w:sz w:val="18"/>
                <w:szCs w:val="18"/>
              </w:rPr>
              <w:t>、张伟、张垚、李云涛</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2023年10月20日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审议了《关于公司2023年第三季度报告的议案》《关于公司内审部</w:t>
            </w:r>
            <w:r>
              <w:rPr>
                <w:rFonts w:ascii="宋体" w:eastAsia="宋体" w:hAnsi="宋体" w:cs="宋体"/>
                <w:sz w:val="18"/>
                <w:szCs w:val="18"/>
              </w:rPr>
              <w:lastRenderedPageBreak/>
              <w:t>2023年第三季度审计报告的议案》。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薪酬与考核委员会</w:t>
            </w:r>
          </w:p>
        </w:tc>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班耀波、杨慧丽、王</w:t>
            </w:r>
            <w:proofErr w:type="gramStart"/>
            <w:r>
              <w:rPr>
                <w:rFonts w:ascii="宋体" w:eastAsia="宋体" w:hAnsi="宋体" w:cs="宋体"/>
                <w:sz w:val="18"/>
                <w:szCs w:val="18"/>
              </w:rPr>
              <w:t>荭</w:t>
            </w:r>
            <w:proofErr w:type="gramEnd"/>
          </w:p>
        </w:tc>
        <w:tc>
          <w:tcPr>
            <w:tcW w:w="1205" w:type="dxa"/>
            <w:vMerge w:val="restart"/>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2023年04月07日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审议了《关于2023年度董事、监事及高级管理人员薪酬方案的议案》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薪酬与考核委员会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班耀波、杨慧丽、王</w:t>
            </w:r>
            <w:proofErr w:type="gramStart"/>
            <w:r>
              <w:rPr>
                <w:rFonts w:ascii="宋体" w:eastAsia="宋体" w:hAnsi="宋体" w:cs="宋体"/>
                <w:sz w:val="18"/>
                <w:szCs w:val="18"/>
              </w:rPr>
              <w:t>荭</w:t>
            </w:r>
            <w:proofErr w:type="gramEnd"/>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2023年07月12日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审议了《关于&lt;软控股份有限公司2023年股票限制性股票激励计划（草案）&gt;及其摘要的议案》《关于&lt;软控股股份有限公司2023年限制性股票激励计划实施考核管理办法&gt;的议案》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薪酬与考核委员会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班耀波、杨慧丽、王</w:t>
            </w:r>
            <w:proofErr w:type="gramStart"/>
            <w:r>
              <w:rPr>
                <w:rFonts w:ascii="宋体" w:eastAsia="宋体" w:hAnsi="宋体" w:cs="宋体"/>
                <w:sz w:val="18"/>
                <w:szCs w:val="18"/>
              </w:rPr>
              <w:t>荭</w:t>
            </w:r>
            <w:proofErr w:type="gramEnd"/>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2023年09月19日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审议了《关于公司2022年股票期权与限制性股票激励计划第一个解除限售期限制性股票解除限售条件成就的议案》《关于公司2022年股票期权与限制性股票激励计划第一个行权期期权行权条件成就的议案》。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薪酬与考核委员会</w:t>
            </w:r>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班耀波、杨慧丽、王</w:t>
            </w:r>
            <w:proofErr w:type="gramStart"/>
            <w:r>
              <w:rPr>
                <w:rFonts w:ascii="宋体" w:eastAsia="宋体" w:hAnsi="宋体" w:cs="宋体"/>
                <w:sz w:val="18"/>
                <w:szCs w:val="18"/>
              </w:rPr>
              <w:t>荭</w:t>
            </w:r>
            <w:proofErr w:type="gramEnd"/>
          </w:p>
        </w:tc>
        <w:tc>
          <w:tcPr>
            <w:tcW w:w="1205" w:type="dxa"/>
            <w:vMerge/>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2023年10月20日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审议了《关于公司2021年限制性股票激励计划第二个解除限售期解除限售条件成就的议案》。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战略委员会</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政、张伟、王</w:t>
            </w:r>
            <w:proofErr w:type="gramStart"/>
            <w:r>
              <w:rPr>
                <w:rFonts w:ascii="宋体" w:eastAsia="宋体" w:hAnsi="宋体" w:cs="宋体"/>
                <w:sz w:val="18"/>
                <w:szCs w:val="18"/>
              </w:rPr>
              <w:t>荭</w:t>
            </w:r>
            <w:proofErr w:type="gramEnd"/>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2023年04月07日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审议了《关于2022年</w:t>
            </w:r>
            <w:r>
              <w:rPr>
                <w:rFonts w:ascii="宋体" w:eastAsia="宋体" w:hAnsi="宋体" w:cs="宋体"/>
                <w:sz w:val="18"/>
                <w:szCs w:val="18"/>
              </w:rPr>
              <w:lastRenderedPageBreak/>
              <w:t>度总裁工作报告的议案》</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议案全票通过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bl>
    <w:p w:rsidR="00BA0365" w:rsidRDefault="008D4B2E">
      <w:pPr>
        <w:pStyle w:val="2"/>
        <w:spacing w:before="300" w:after="300" w:line="320" w:lineRule="exact"/>
        <w:rPr>
          <w:rFonts w:ascii="宋体" w:eastAsia="宋体" w:hAnsi="宋体" w:cs="宋体"/>
          <w:b/>
          <w:bCs/>
          <w:sz w:val="24"/>
          <w:szCs w:val="24"/>
        </w:rPr>
      </w:pPr>
      <w:bookmarkStart w:id="72" w:name="_Toc988961"/>
      <w:r>
        <w:rPr>
          <w:rFonts w:ascii="宋体" w:eastAsia="宋体" w:hAnsi="宋体" w:cs="宋体"/>
          <w:b/>
          <w:bCs/>
          <w:sz w:val="24"/>
          <w:szCs w:val="24"/>
        </w:rPr>
        <w:lastRenderedPageBreak/>
        <w:t>八、监事会工作情况</w:t>
      </w:r>
      <w:bookmarkEnd w:id="7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监事会在报告期内的监督活动中发现公司是否存在风险</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监事会对报告期内的监督事项无异议。</w:t>
      </w:r>
    </w:p>
    <w:p w:rsidR="00BA0365" w:rsidRDefault="008D4B2E">
      <w:pPr>
        <w:pStyle w:val="2"/>
        <w:spacing w:before="300" w:after="300" w:line="320" w:lineRule="exact"/>
        <w:rPr>
          <w:rFonts w:ascii="宋体" w:eastAsia="宋体" w:hAnsi="宋体" w:cs="宋体"/>
          <w:b/>
          <w:bCs/>
          <w:sz w:val="24"/>
          <w:szCs w:val="24"/>
        </w:rPr>
      </w:pPr>
      <w:bookmarkStart w:id="73" w:name="_Toc988962"/>
      <w:r>
        <w:rPr>
          <w:rFonts w:ascii="宋体" w:eastAsia="宋体" w:hAnsi="宋体" w:cs="宋体"/>
          <w:b/>
          <w:bCs/>
          <w:sz w:val="24"/>
          <w:szCs w:val="24"/>
        </w:rPr>
        <w:t>九、公司员工情况</w:t>
      </w:r>
      <w:bookmarkEnd w:id="73"/>
    </w:p>
    <w:p w:rsidR="00BA0365" w:rsidRDefault="008D4B2E">
      <w:pPr>
        <w:pStyle w:val="3"/>
        <w:spacing w:line="280" w:lineRule="exact"/>
        <w:jc w:val="left"/>
        <w:rPr>
          <w:rFonts w:ascii="宋体" w:hAnsi="宋体" w:cs="宋体"/>
          <w:b/>
          <w:bCs/>
        </w:rPr>
      </w:pPr>
      <w:bookmarkStart w:id="74" w:name="_Toc988963"/>
      <w:r>
        <w:rPr>
          <w:rFonts w:ascii="宋体" w:hAnsi="宋体" w:cs="宋体"/>
          <w:b/>
          <w:bCs/>
        </w:rPr>
        <w:t>1、员工数量、专业构成及教育程度</w:t>
      </w:r>
      <w:bookmarkEnd w:id="74"/>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报告期末母公司在职员工的数量（人）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1,605</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报告期末主要子公司在职员工的数量（人）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2,458</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报告期末在职员工的数量合计（人）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4,063</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当期领取薪酬员工总人数（人）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4,063</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母公司及主要子公司需承担费用的离退休职工人数（人）</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专业构成人数（人）</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生产人员</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2,539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销售人员</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技术人员</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财务人员</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行政人员</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4,063</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教育程度</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教育程度类别</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数量（人）</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硕士</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本科</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1,301</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大专</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1,078</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大专以下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4,063</w:t>
            </w:r>
          </w:p>
        </w:tc>
      </w:tr>
    </w:tbl>
    <w:p w:rsidR="00BA0365" w:rsidRDefault="008D4B2E">
      <w:pPr>
        <w:pStyle w:val="3"/>
        <w:spacing w:line="280" w:lineRule="exact"/>
        <w:jc w:val="left"/>
        <w:rPr>
          <w:rFonts w:ascii="宋体" w:hAnsi="宋体" w:cs="宋体"/>
          <w:b/>
          <w:bCs/>
        </w:rPr>
      </w:pPr>
      <w:bookmarkStart w:id="75" w:name="_Toc988964"/>
      <w:r>
        <w:rPr>
          <w:rFonts w:ascii="宋体" w:hAnsi="宋体" w:cs="宋体"/>
          <w:b/>
          <w:bCs/>
        </w:rPr>
        <w:t>2、薪酬政策</w:t>
      </w:r>
      <w:bookmarkEnd w:id="75"/>
    </w:p>
    <w:p w:rsidR="008D4B2E" w:rsidRDefault="008D4B2E">
      <w:pPr>
        <w:pStyle w:val="a3"/>
        <w:spacing w:before="0" w:beforeAutospacing="0" w:after="0" w:afterAutospacing="0"/>
        <w:ind w:firstLine="360"/>
        <w:divId w:val="1793553072"/>
      </w:pPr>
      <w:r>
        <w:rPr>
          <w:rFonts w:hint="eastAsia"/>
          <w:sz w:val="18"/>
          <w:szCs w:val="18"/>
        </w:rPr>
        <w:t>公司为员工提供有市场竞争力的薪酬水平，确保对人才的吸引与保留。通过岗位价值评估设置分配档次，以价值贡献为参照拉开收入差距，以市场水准为依据充分体现薪酬激励，实现薪酬制度的有理有据，公平、公正、透明。</w:t>
      </w:r>
    </w:p>
    <w:p w:rsidR="00BA0365" w:rsidRDefault="008D4B2E">
      <w:pPr>
        <w:pStyle w:val="3"/>
        <w:spacing w:line="280" w:lineRule="exact"/>
        <w:jc w:val="left"/>
        <w:rPr>
          <w:rFonts w:ascii="宋体" w:hAnsi="宋体" w:cs="宋体"/>
          <w:b/>
          <w:bCs/>
        </w:rPr>
      </w:pPr>
      <w:bookmarkStart w:id="76" w:name="_Toc988965"/>
      <w:r>
        <w:rPr>
          <w:rFonts w:ascii="宋体" w:hAnsi="宋体" w:cs="宋体"/>
          <w:b/>
          <w:bCs/>
        </w:rPr>
        <w:t>3、培训计划</w:t>
      </w:r>
      <w:bookmarkEnd w:id="76"/>
    </w:p>
    <w:p w:rsidR="008D4B2E" w:rsidRDefault="008D4B2E">
      <w:pPr>
        <w:pStyle w:val="a3"/>
        <w:spacing w:before="0" w:beforeAutospacing="0" w:after="0" w:afterAutospacing="0"/>
        <w:ind w:firstLine="360"/>
        <w:divId w:val="1954246323"/>
      </w:pPr>
      <w:r>
        <w:rPr>
          <w:rFonts w:hint="eastAsia"/>
          <w:sz w:val="18"/>
          <w:szCs w:val="18"/>
        </w:rPr>
        <w:t>公司立足组织能力提升和员工个人成长，将人才发展工作作为公司持续发展、战略实现的重要保障之一。在夯实培训体系搭建的基础上，探索并形成了关键人才培养项目的新模式。</w:t>
      </w:r>
    </w:p>
    <w:p w:rsidR="008D4B2E" w:rsidRDefault="008D4B2E">
      <w:pPr>
        <w:pStyle w:val="a3"/>
        <w:spacing w:before="0" w:beforeAutospacing="0" w:after="0" w:afterAutospacing="0"/>
        <w:ind w:firstLine="360"/>
        <w:divId w:val="1954246323"/>
      </w:pPr>
      <w:r>
        <w:rPr>
          <w:rFonts w:hint="eastAsia"/>
          <w:sz w:val="18"/>
          <w:szCs w:val="18"/>
        </w:rPr>
        <w:t>在人才培养项目方面。首先，面向干部培养，公司依据领导</w:t>
      </w:r>
      <w:proofErr w:type="gramStart"/>
      <w:r>
        <w:rPr>
          <w:rFonts w:hint="eastAsia"/>
          <w:sz w:val="18"/>
          <w:szCs w:val="18"/>
        </w:rPr>
        <w:t>力素质</w:t>
      </w:r>
      <w:proofErr w:type="gramEnd"/>
      <w:r>
        <w:rPr>
          <w:rFonts w:hint="eastAsia"/>
          <w:sz w:val="18"/>
          <w:szCs w:val="18"/>
        </w:rPr>
        <w:t>模型及现状盘点，结合</w:t>
      </w:r>
      <w:proofErr w:type="gramStart"/>
      <w:r>
        <w:rPr>
          <w:rFonts w:hint="eastAsia"/>
          <w:sz w:val="18"/>
          <w:szCs w:val="18"/>
        </w:rPr>
        <w:t>软控实际</w:t>
      </w:r>
      <w:proofErr w:type="gramEnd"/>
      <w:r>
        <w:rPr>
          <w:rFonts w:hint="eastAsia"/>
          <w:sz w:val="18"/>
          <w:szCs w:val="18"/>
        </w:rPr>
        <w:t>需要，面向高级管理者和中级管理者制定出相应的学习地图，并形成项目化的培养方案，培养一批人，激活一个班子，从而影响一个组织。</w:t>
      </w:r>
      <w:r>
        <w:rPr>
          <w:rFonts w:hint="eastAsia"/>
          <w:sz w:val="18"/>
          <w:szCs w:val="18"/>
        </w:rPr>
        <w:lastRenderedPageBreak/>
        <w:t>其次，面向关键群体，如营销序列人员、研发设计人员、生产管理人员</w:t>
      </w:r>
      <w:proofErr w:type="gramStart"/>
      <w:r>
        <w:rPr>
          <w:rFonts w:hint="eastAsia"/>
          <w:sz w:val="18"/>
          <w:szCs w:val="18"/>
        </w:rPr>
        <w:t>及校招新</w:t>
      </w:r>
      <w:proofErr w:type="gramEnd"/>
      <w:r>
        <w:rPr>
          <w:rFonts w:hint="eastAsia"/>
          <w:sz w:val="18"/>
          <w:szCs w:val="18"/>
        </w:rPr>
        <w:t>员工，均有针对性的策划出相应的培养方案，形成可迭代可沉淀的人才培养项目，持续助推人员的高效成长。</w:t>
      </w:r>
    </w:p>
    <w:p w:rsidR="008D4B2E" w:rsidRDefault="008D4B2E">
      <w:pPr>
        <w:pStyle w:val="a3"/>
        <w:spacing w:before="0" w:beforeAutospacing="0" w:after="0" w:afterAutospacing="0"/>
        <w:ind w:firstLine="360"/>
        <w:divId w:val="1954246323"/>
      </w:pPr>
      <w:r>
        <w:rPr>
          <w:rFonts w:hint="eastAsia"/>
          <w:sz w:val="18"/>
          <w:szCs w:val="18"/>
        </w:rPr>
        <w:t>在人才发展体系建设上面。公司在保障</w:t>
      </w:r>
      <w:proofErr w:type="gramStart"/>
      <w:r>
        <w:rPr>
          <w:rFonts w:hint="eastAsia"/>
          <w:sz w:val="18"/>
          <w:szCs w:val="18"/>
        </w:rPr>
        <w:t>内训师</w:t>
      </w:r>
      <w:proofErr w:type="gramEnd"/>
      <w:r>
        <w:rPr>
          <w:rFonts w:hint="eastAsia"/>
          <w:sz w:val="18"/>
          <w:szCs w:val="18"/>
        </w:rPr>
        <w:t>队伍持续健康发展的基础上，立足于企业核心价值观深植，组建企业内部体验</w:t>
      </w:r>
      <w:proofErr w:type="gramStart"/>
      <w:r>
        <w:rPr>
          <w:rFonts w:hint="eastAsia"/>
          <w:sz w:val="18"/>
          <w:szCs w:val="18"/>
        </w:rPr>
        <w:t>式引导</w:t>
      </w:r>
      <w:proofErr w:type="gramEnd"/>
      <w:r>
        <w:rPr>
          <w:rFonts w:hint="eastAsia"/>
          <w:sz w:val="18"/>
          <w:szCs w:val="18"/>
        </w:rPr>
        <w:t>师团队，注入体验</w:t>
      </w:r>
      <w:proofErr w:type="gramStart"/>
      <w:r>
        <w:rPr>
          <w:rFonts w:hint="eastAsia"/>
          <w:sz w:val="18"/>
          <w:szCs w:val="18"/>
        </w:rPr>
        <w:t>式引导</w:t>
      </w:r>
      <w:proofErr w:type="gramEnd"/>
      <w:r>
        <w:rPr>
          <w:rFonts w:hint="eastAsia"/>
          <w:sz w:val="18"/>
          <w:szCs w:val="18"/>
        </w:rPr>
        <w:t>的新活力，引入线上线下相结合的混合式学习模式，有效促进人才培养的效果落地，推动公司人才队伍的立体化发展。</w:t>
      </w:r>
    </w:p>
    <w:p w:rsidR="00BA0365" w:rsidRDefault="008D4B2E">
      <w:pPr>
        <w:pStyle w:val="3"/>
        <w:spacing w:line="280" w:lineRule="exact"/>
        <w:jc w:val="left"/>
        <w:rPr>
          <w:rFonts w:ascii="宋体" w:hAnsi="宋体" w:cs="宋体"/>
          <w:b/>
          <w:bCs/>
        </w:rPr>
      </w:pPr>
      <w:bookmarkStart w:id="77" w:name="_Toc988966"/>
      <w:r>
        <w:rPr>
          <w:rFonts w:ascii="宋体" w:hAnsi="宋体" w:cs="宋体"/>
          <w:b/>
          <w:bCs/>
        </w:rPr>
        <w:t>4、劳务外包情况</w:t>
      </w:r>
      <w:bookmarkEnd w:id="7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78" w:name="_Toc988967"/>
      <w:r>
        <w:rPr>
          <w:rFonts w:ascii="宋体" w:eastAsia="宋体" w:hAnsi="宋体" w:cs="宋体"/>
          <w:b/>
          <w:bCs/>
          <w:sz w:val="24"/>
          <w:szCs w:val="24"/>
        </w:rPr>
        <w:t>十、公司利润分配及资本公积金转增股本情况</w:t>
      </w:r>
      <w:bookmarkEnd w:id="78"/>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w:t>
      </w:r>
      <w:proofErr w:type="gramStart"/>
      <w:r>
        <w:rPr>
          <w:rFonts w:ascii="宋体" w:eastAsia="宋体" w:hAnsi="宋体" w:cs="宋体"/>
          <w:sz w:val="18"/>
          <w:szCs w:val="18"/>
        </w:rPr>
        <w:t>内利润</w:t>
      </w:r>
      <w:proofErr w:type="gramEnd"/>
      <w:r>
        <w:rPr>
          <w:rFonts w:ascii="宋体" w:eastAsia="宋体" w:hAnsi="宋体" w:cs="宋体"/>
          <w:sz w:val="18"/>
          <w:szCs w:val="18"/>
        </w:rPr>
        <w:t>分配政策，特别是现金分红政策的制定、执行或调整情况</w:t>
      </w:r>
    </w:p>
    <w:p w:rsidR="00C067EE" w:rsidRDefault="008D4B2E" w:rsidP="00C067E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021783" w:rsidRDefault="008D4B2E" w:rsidP="00C067EE">
      <w:pPr>
        <w:pStyle w:val="a3"/>
        <w:spacing w:before="0" w:beforeAutospacing="0" w:after="0" w:afterAutospacing="0"/>
        <w:ind w:firstLine="360"/>
        <w:rPr>
          <w:rFonts w:cs="Times New Roman"/>
          <w:sz w:val="18"/>
          <w:szCs w:val="18"/>
        </w:rPr>
      </w:pPr>
      <w:r w:rsidRPr="00C067EE">
        <w:rPr>
          <w:rFonts w:cs="Times New Roman" w:hint="eastAsia"/>
          <w:sz w:val="18"/>
          <w:szCs w:val="18"/>
        </w:rPr>
        <w:t>2023年4月10日召开第八届董事会第六次会议及第八届监事会第七次会议，审议通过《公司2022年度利润分配的预案》，经</w:t>
      </w:r>
      <w:proofErr w:type="gramStart"/>
      <w:r w:rsidRPr="00C067EE">
        <w:rPr>
          <w:rFonts w:cs="Times New Roman" w:hint="eastAsia"/>
          <w:sz w:val="18"/>
          <w:szCs w:val="18"/>
        </w:rPr>
        <w:t>中兴华</w:t>
      </w:r>
      <w:proofErr w:type="gramEnd"/>
      <w:r w:rsidRPr="00C067EE">
        <w:rPr>
          <w:rFonts w:cs="Times New Roman" w:hint="eastAsia"/>
          <w:sz w:val="18"/>
          <w:szCs w:val="18"/>
        </w:rPr>
        <w:t>事务所审计，母公司2022年度实现的净利润为23,064,446.85元,根据《公司章程》规定，本年度计提法定盈余公积2,306,444.69元，加上上年度转入本年度的可供股东分配利润2,212,829,254.49元，母公司本年度的可供股东分配的利润累计为2,233,587,256.65元。在符合利润分配原则、保证公司正常经营和</w:t>
      </w:r>
      <w:proofErr w:type="gramStart"/>
      <w:r w:rsidRPr="00C067EE">
        <w:rPr>
          <w:rFonts w:cs="Times New Roman" w:hint="eastAsia"/>
          <w:sz w:val="18"/>
          <w:szCs w:val="18"/>
        </w:rPr>
        <w:t>可</w:t>
      </w:r>
      <w:proofErr w:type="gramEnd"/>
      <w:r w:rsidRPr="00C067EE">
        <w:rPr>
          <w:rFonts w:cs="Times New Roman" w:hint="eastAsia"/>
          <w:sz w:val="18"/>
          <w:szCs w:val="18"/>
        </w:rPr>
        <w:t>持续性发展，兼顾股东利益的前提下，公司提出2022年度利润分配预案为：以2022年12月31日的总股本969,506,674股为基数，向全体股东每10股派发现金红利0.46 元（含税），不送红股，共派发现金红利44,597,307.00元，剩余未分配利润2,188,989,949.65元，暂时用于补充流动资金或公司发展，结转以后年度分配。2022年度不进行资本公积金转增股本。</w:t>
      </w:r>
    </w:p>
    <w:p w:rsidR="008D4B2E" w:rsidRPr="00C067EE" w:rsidRDefault="008D4B2E" w:rsidP="00C067EE">
      <w:pPr>
        <w:pStyle w:val="a3"/>
        <w:spacing w:before="0" w:beforeAutospacing="0" w:after="0" w:afterAutospacing="0"/>
        <w:ind w:firstLine="360"/>
        <w:rPr>
          <w:rFonts w:cs="Times New Roman"/>
          <w:sz w:val="18"/>
          <w:szCs w:val="18"/>
        </w:rPr>
      </w:pPr>
      <w:r w:rsidRPr="00C067EE">
        <w:rPr>
          <w:rFonts w:cs="Times New Roman" w:hint="eastAsia"/>
          <w:sz w:val="18"/>
          <w:szCs w:val="18"/>
        </w:rPr>
        <w:t>公司2022年度利润分配预案是依据公司经营发展的实际情况制订，该利润分配预案有利于公司长远发展，不存在损害公司和股东利益的情形，符合《公司章程》中现金分红的规定：公司应优先采用现金分红的方式进行利润分配，最近三年以现金累计分配的利润不少于最近三年实现的年均可分配利润的百分之三十。《公司2022年度利润分配的预案》 已经2022年度股东大会审议通过。详见巨潮资讯网（</w:t>
      </w:r>
      <w:hyperlink r:id="rId9" w:history="1">
        <w:r w:rsidRPr="00C067EE">
          <w:rPr>
            <w:rFonts w:cs="Times New Roman"/>
            <w:sz w:val="18"/>
            <w:szCs w:val="18"/>
          </w:rPr>
          <w:t>http://www.cninfo.com.cn</w:t>
        </w:r>
      </w:hyperlink>
      <w:r w:rsidRPr="00C067EE">
        <w:rPr>
          <w:rFonts w:cs="Times New Roman" w:hint="eastAsia"/>
          <w:sz w:val="18"/>
          <w:szCs w:val="18"/>
        </w:rPr>
        <w:t>）及《证券时报》《中国证券报》《上海证券报》《证券日报》。 </w:t>
      </w:r>
    </w:p>
    <w:tbl>
      <w:tblPr>
        <w:tblW w:w="9639" w:type="dxa"/>
        <w:tblLayout w:type="fixed"/>
        <w:tblLook w:val="04A0" w:firstRow="1" w:lastRow="0" w:firstColumn="1" w:lastColumn="0" w:noHBand="0" w:noVBand="1"/>
      </w:tblPr>
      <w:tblGrid>
        <w:gridCol w:w="4820"/>
        <w:gridCol w:w="4819"/>
      </w:tblGrid>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现金分红政策的专项说明</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是否符合公司章程的规定或股东大会决议的要求：</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分红标准和比例是否明确和清晰：</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相关的决策程序和机制是否完备：</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独立董事是否履职尽责并发挥了应有的作用：</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公司未进行现金分红的，应当披露具体原因，以及下一步为增强投资者回报水平拟采取的举措：</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不适用</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中小股东是否有充分表达意见和诉求的机会，其合法权益是否得到了充分保护：</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是</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现金分红政策进行调整或变更的，条件及程序是否合</w:t>
            </w:r>
            <w:proofErr w:type="gramStart"/>
            <w:r>
              <w:rPr>
                <w:rFonts w:ascii="宋体" w:eastAsia="宋体" w:hAnsi="宋体" w:cs="宋体"/>
                <w:sz w:val="18"/>
                <w:szCs w:val="18"/>
              </w:rPr>
              <w:t>规</w:t>
            </w:r>
            <w:proofErr w:type="gramEnd"/>
            <w:r>
              <w:rPr>
                <w:rFonts w:ascii="宋体" w:eastAsia="宋体" w:hAnsi="宋体" w:cs="宋体"/>
                <w:sz w:val="18"/>
                <w:szCs w:val="18"/>
              </w:rPr>
              <w:t>、透明：</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不适用</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公司报告期内</w:t>
      </w:r>
      <w:proofErr w:type="gramStart"/>
      <w:r>
        <w:rPr>
          <w:rFonts w:ascii="宋体" w:eastAsia="宋体" w:hAnsi="宋体" w:cs="宋体"/>
          <w:sz w:val="18"/>
          <w:szCs w:val="18"/>
        </w:rPr>
        <w:t>盈利且母公司</w:t>
      </w:r>
      <w:proofErr w:type="gramEnd"/>
      <w:r>
        <w:rPr>
          <w:rFonts w:ascii="宋体" w:eastAsia="宋体" w:hAnsi="宋体" w:cs="宋体"/>
          <w:sz w:val="18"/>
          <w:szCs w:val="18"/>
        </w:rPr>
        <w:t>可供股东分配利润</w:t>
      </w:r>
      <w:proofErr w:type="gramStart"/>
      <w:r>
        <w:rPr>
          <w:rFonts w:ascii="宋体" w:eastAsia="宋体" w:hAnsi="宋体" w:cs="宋体"/>
          <w:sz w:val="18"/>
          <w:szCs w:val="18"/>
        </w:rPr>
        <w:t>为正但未</w:t>
      </w:r>
      <w:proofErr w:type="gramEnd"/>
      <w:r>
        <w:rPr>
          <w:rFonts w:ascii="宋体" w:eastAsia="宋体" w:hAnsi="宋体" w:cs="宋体"/>
          <w:sz w:val="18"/>
          <w:szCs w:val="18"/>
        </w:rPr>
        <w:t>提出现金红利分配预案</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本报告期利润分配及资本公积金转增股本情况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每10股送红股数（股）</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每10股派息数（元）（含税）</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1.00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分配预案的股本基数（股）</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 1,012,096,504.00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现金分红金额（元）（含税）</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101,209,650.40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以其他方式（如回购股份）现金分红金额（元）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现金分红总额（含其他方式）（元）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101,209,650.40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可分配利润（元）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2,245,983,571.39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现金分红总额（含其他方式）占利润分配总额的比例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100%</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本次现金分红情况</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利润分配或资本公积金转增预案的详细情况说明</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ind w:firstLineChars="200" w:firstLine="360"/>
              <w:rPr>
                <w:rFonts w:ascii="宋体" w:eastAsia="宋体" w:hAnsi="宋体" w:cs="宋体"/>
                <w:sz w:val="18"/>
                <w:szCs w:val="18"/>
              </w:rPr>
            </w:pPr>
            <w:r>
              <w:rPr>
                <w:rFonts w:ascii="宋体" w:eastAsia="宋体" w:hAnsi="宋体" w:cs="宋体"/>
                <w:sz w:val="18"/>
                <w:szCs w:val="18"/>
              </w:rPr>
              <w:t>经</w:t>
            </w:r>
            <w:proofErr w:type="gramStart"/>
            <w:r>
              <w:rPr>
                <w:rFonts w:ascii="宋体" w:eastAsia="宋体" w:hAnsi="宋体" w:cs="宋体"/>
                <w:sz w:val="18"/>
                <w:szCs w:val="18"/>
              </w:rPr>
              <w:t>中兴华</w:t>
            </w:r>
            <w:proofErr w:type="gramEnd"/>
            <w:r>
              <w:rPr>
                <w:rFonts w:ascii="宋体" w:eastAsia="宋体" w:hAnsi="宋体" w:cs="宋体"/>
                <w:sz w:val="18"/>
                <w:szCs w:val="18"/>
              </w:rPr>
              <w:t>事务所审计，母公司2023年度实现的净利润为63,243,855.27元,根据《公司章程》规定，本年度计提法定盈余公积6,324,385.53元，支付利润分配普通股股利44,523,155.00元，加上上年度转入本年度的可供股东分配利润2,233,587,256.65元，母公司本年度的可供股东分配的利润累计为2,245,983,571.39元。</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根据《公司章程》关于利润分配政策的相关规定，公司拟进行2023年度利润分配，具体分配预案为：以公司2023年12月31日总股本1,012,096,504股为基数，向全体股东每10股派发现金红利1.00元（含税），送红股0股（含税），不以公积金转增股本。</w:t>
            </w:r>
          </w:p>
          <w:p w:rsidR="00BA0365" w:rsidRDefault="008D4B2E" w:rsidP="00C067EE">
            <w:pPr>
              <w:spacing w:line="240" w:lineRule="exact"/>
              <w:ind w:firstLineChars="200" w:firstLine="360"/>
              <w:rPr>
                <w:rFonts w:ascii="宋体" w:eastAsia="宋体" w:hAnsi="宋体" w:cs="宋体"/>
                <w:sz w:val="18"/>
                <w:szCs w:val="18"/>
              </w:rPr>
            </w:pPr>
            <w:r>
              <w:rPr>
                <w:rFonts w:ascii="宋体" w:eastAsia="宋体" w:hAnsi="宋体" w:cs="宋体"/>
                <w:sz w:val="18"/>
                <w:szCs w:val="18"/>
              </w:rPr>
              <w:t>如在利润分配预案披露之日起至权益分派实施股权登记日期间，因股份回购、股权激励行权等原因导致公司可参与权益分派的总股本发生变化的，公司将按照每</w:t>
            </w:r>
            <w:proofErr w:type="gramStart"/>
            <w:r>
              <w:rPr>
                <w:rFonts w:ascii="宋体" w:eastAsia="宋体" w:hAnsi="宋体" w:cs="宋体"/>
                <w:sz w:val="18"/>
                <w:szCs w:val="18"/>
              </w:rPr>
              <w:t>股分配金额</w:t>
            </w:r>
            <w:proofErr w:type="gramEnd"/>
            <w:r>
              <w:rPr>
                <w:rFonts w:ascii="宋体" w:eastAsia="宋体" w:hAnsi="宋体" w:cs="宋体"/>
                <w:sz w:val="18"/>
                <w:szCs w:val="18"/>
              </w:rPr>
              <w:t>不变的原则，相应调整分配总额。</w:t>
            </w:r>
          </w:p>
        </w:tc>
      </w:tr>
    </w:tbl>
    <w:p w:rsidR="00BA0365" w:rsidRDefault="008D4B2E">
      <w:pPr>
        <w:pStyle w:val="2"/>
        <w:spacing w:before="300" w:after="300" w:line="320" w:lineRule="exact"/>
        <w:rPr>
          <w:rFonts w:ascii="宋体" w:eastAsia="宋体" w:hAnsi="宋体" w:cs="宋体"/>
          <w:b/>
          <w:bCs/>
          <w:sz w:val="24"/>
          <w:szCs w:val="24"/>
        </w:rPr>
      </w:pPr>
      <w:bookmarkStart w:id="79" w:name="_Toc988968"/>
      <w:r>
        <w:rPr>
          <w:rFonts w:ascii="宋体" w:eastAsia="宋体" w:hAnsi="宋体" w:cs="宋体"/>
          <w:b/>
          <w:bCs/>
          <w:sz w:val="24"/>
          <w:szCs w:val="24"/>
        </w:rPr>
        <w:t>十一、公司股权激励计划、员工持股计划或其他员工激励措施的实施情况</w:t>
      </w:r>
      <w:bookmarkEnd w:id="79"/>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pStyle w:val="3"/>
        <w:spacing w:line="280" w:lineRule="exact"/>
        <w:jc w:val="left"/>
        <w:rPr>
          <w:rFonts w:ascii="宋体" w:hAnsi="宋体" w:cs="宋体"/>
          <w:b/>
          <w:bCs/>
        </w:rPr>
      </w:pPr>
      <w:bookmarkStart w:id="80" w:name="_Toc988969"/>
      <w:r>
        <w:rPr>
          <w:rFonts w:ascii="宋体" w:hAnsi="宋体" w:cs="宋体"/>
          <w:b/>
          <w:bCs/>
        </w:rPr>
        <w:t>1、股权激励</w:t>
      </w:r>
      <w:bookmarkEnd w:id="80"/>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2023年4月10日，公司召开第八届董事会第六次会议与第八届监事会第七次会议，审议通过了《关于注销部分股票期权和回购注销部分限制性股票的议案》，因3名激励对象离职，同意对其</w:t>
      </w:r>
      <w:proofErr w:type="gramStart"/>
      <w:r w:rsidRPr="00C067EE">
        <w:rPr>
          <w:rFonts w:cs="Times New Roman" w:hint="eastAsia"/>
          <w:sz w:val="18"/>
          <w:szCs w:val="18"/>
        </w:rPr>
        <w:t>已获授但尚未</w:t>
      </w:r>
      <w:proofErr w:type="gramEnd"/>
      <w:r w:rsidRPr="00C067EE">
        <w:rPr>
          <w:rFonts w:cs="Times New Roman" w:hint="eastAsia"/>
          <w:sz w:val="18"/>
          <w:szCs w:val="18"/>
        </w:rPr>
        <w:t>解除限售的限制性股票合计10,000股予以回购注销，其</w:t>
      </w:r>
      <w:proofErr w:type="gramStart"/>
      <w:r w:rsidRPr="00C067EE">
        <w:rPr>
          <w:rFonts w:cs="Times New Roman" w:hint="eastAsia"/>
          <w:sz w:val="18"/>
          <w:szCs w:val="18"/>
        </w:rPr>
        <w:t>已获授但尚未</w:t>
      </w:r>
      <w:proofErr w:type="gramEnd"/>
      <w:r w:rsidRPr="00C067EE">
        <w:rPr>
          <w:rFonts w:cs="Times New Roman" w:hint="eastAsia"/>
          <w:sz w:val="18"/>
          <w:szCs w:val="18"/>
        </w:rPr>
        <w:t>行权的股票期权合计200,000份予以注销。2023年5月8日，公司召开2022年度股东大会，审议通过《关于注销部分股票期权和回购注销部分限制性股票的议案》。截至2023年07月18日，公司已在中国证券登记结算有限责任公司深圳分公司办理完成上述限制性股票的回购注销以及股票期权的注销手续，并于同日披露了《关于注销部分股票期权和回购注销部分限制性股票完成的公告》（公告编号：2023-041）。</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7月13日，公司第八届董事会第九次会议审议通过了《关于〈软控股份有限公司2023年限制性股票激励计划（草案）〉及其摘要的议案》《关于〈软控股份有限公司2023年限制性股票激励计划实施考核管理办法〉的议案》《关于提请股东大会授权董事会办理股权激励相关事宜的议案》。独立董事就本激励计划相关议案发表了同意的独立意见。同日，公司召开了第八届监事会第十次会议审议通过了《关于〈软控股份有限公司2023年限制性股票激励计划（草案）〉及其摘要的议案》《关于〈软控股份有限公司2023年限制性股票激励计划实施考核管理办法〉的议案》及《关于核查〈软控股份有限公司2023年限制性股票激励计划激励对象名单〉的议案》，监事会对本次激励计划的激励对象进行了核查，认为激励对象的主体资格合法、有效。</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7月17日至2023年7月27日，公司对《软控股份有限公司2023年限制性股票激励计划激励对象名单》在公司内部进行了公示。公示期满，监事会未收到任何异议。公司于2023年8月11日披露了《软控股份有限公司第八届监事会第十一次会议决议公告》（公告编号：2023-042）《监事会关于2023年限制性股票激励计划激励对象名单的公示情况说明及核查意见的公告》（公告编号：2023-043）。</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8月15日，公司召开2023年第一次临时股东大会，审议并通过了《关于〈软控股份有限公司2023年限制性股票激励计划（草案）〉及其摘要的议案》《关于〈软控股份有限公司2023年限制性股票激励计划实施考核管理办法〉的议案》《关于提请股东大会授权董事会办理股权激励相关事宜的议案》。公司就本激励计划内幕信息知情人及激励对象在本激励计划草案公开披露前6个月内买卖公司股票的情况进行了自查，并于2023年8月16日披露了《关于2023年限制性股票激励计划内幕信息知情人及激励对象买卖公司股票情况的自查报告》（公告编号：2023-046）。</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8月28日，公司召开第八届董事会第十一次会议和第八届监事会第十三次会议，审议通过了《关于向激励对象授予限制性股票的议案》。根据公司2023年第一次临时股东大会的授权，董事会确定本激励计划的授予日为2023年8月</w:t>
      </w:r>
      <w:r w:rsidRPr="00C067EE">
        <w:rPr>
          <w:rFonts w:cs="Times New Roman" w:hint="eastAsia"/>
          <w:sz w:val="18"/>
          <w:szCs w:val="18"/>
        </w:rPr>
        <w:lastRenderedPageBreak/>
        <w:t>28日，向符合条件的51名激励对象授予3,750.00万股限制性股票，授予价格为4.00元/股。公司独立董事对此发表了独立意见，公司监事会对授予的激励对象名单及授予事项进行审核并发表了核查意见。</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9月20日，公司召开第八届董事会第十二次会议和第八届监事会第十四次会议，审议通过了《关于公司2022年股票期权与限制性股票激励计划第一个行权期行权条件成就及调整行权价格的议案》《关于公司2022年股票期权与限制性股票激励计划第一个解除限售期解除限售条件成就的议案》，董事会认为本次激励计划第一个行权期行权条件及第一个解除限售期解除限售条件已经成就，本次符合行权条件的激励对象共248人，可行权的股票期权数量为947.20万份；本次符合解除限售条件的激励对象共244人，可解除限售的限制性股票数量为636.40万股。公司独立董事对相关事项发表了同意的独立意见,监事会对相关事项并发表了核查意见。</w:t>
      </w:r>
    </w:p>
    <w:p w:rsidR="008D4B2E" w:rsidRPr="00C067EE" w:rsidRDefault="008D4B2E">
      <w:pPr>
        <w:pStyle w:val="a3"/>
        <w:spacing w:before="0" w:beforeAutospacing="0" w:after="0" w:afterAutospacing="0"/>
        <w:ind w:firstLine="360"/>
        <w:jc w:val="both"/>
        <w:divId w:val="1296642429"/>
        <w:rPr>
          <w:rFonts w:cs="Times New Roman"/>
          <w:sz w:val="18"/>
          <w:szCs w:val="18"/>
        </w:rPr>
      </w:pPr>
      <w:r w:rsidRPr="00C067EE">
        <w:rPr>
          <w:rFonts w:cs="Times New Roman" w:hint="eastAsia"/>
          <w:sz w:val="18"/>
          <w:szCs w:val="18"/>
        </w:rPr>
        <w:t>2023年10月23日，公司召开第八届董事会第十三次会议和第八届监事会第十五次会议，审议通过了《关于公司2021年限制性股票激励计划第二个解除限售期解除限售条件成就的议案》，董事会认为公司2021年限制性股票激励计划第二个解除限售期解除限售条件已成就，本次符合解除限售条件的激励对象共20人，可解除限售的限制性股票数量为588.00万股。公司监事会对相关事项并发表了核查意见。</w:t>
      </w:r>
    </w:p>
    <w:p w:rsidR="008D4B2E" w:rsidRDefault="008D4B2E">
      <w:pPr>
        <w:pStyle w:val="a3"/>
        <w:spacing w:before="0" w:beforeAutospacing="0" w:after="0" w:afterAutospacing="0"/>
        <w:ind w:firstLine="360"/>
        <w:jc w:val="both"/>
        <w:divId w:val="1296642429"/>
        <w:rPr>
          <w:rFonts w:ascii="Calibri" w:hAnsi="Calibri" w:cs="Calibri"/>
          <w:sz w:val="21"/>
          <w:szCs w:val="21"/>
        </w:rPr>
      </w:pPr>
      <w:r w:rsidRPr="00C067EE">
        <w:rPr>
          <w:rFonts w:cs="Times New Roman" w:hint="eastAsia"/>
          <w:sz w:val="18"/>
          <w:szCs w:val="18"/>
        </w:rPr>
        <w:t>2023年12月13日，公司召开第八届董事会第十五次会议与第八届监事会第十六次会议审议通过了《关于注销部分股票期权和回购注销部分限制性股票的议案》，因公司2022年股票期权与限制性股票激励计划，有2名激励对象离职，同意对其</w:t>
      </w:r>
      <w:proofErr w:type="gramStart"/>
      <w:r w:rsidRPr="00C067EE">
        <w:rPr>
          <w:rFonts w:cs="Times New Roman" w:hint="eastAsia"/>
          <w:sz w:val="18"/>
          <w:szCs w:val="18"/>
        </w:rPr>
        <w:t>已获授但尚未</w:t>
      </w:r>
      <w:proofErr w:type="gramEnd"/>
      <w:r w:rsidRPr="00C067EE">
        <w:rPr>
          <w:rFonts w:cs="Times New Roman" w:hint="eastAsia"/>
          <w:sz w:val="18"/>
          <w:szCs w:val="18"/>
        </w:rPr>
        <w:t>解除限售的限制性股票合计151,200股予以回购注销，其</w:t>
      </w:r>
      <w:proofErr w:type="gramStart"/>
      <w:r w:rsidRPr="00C067EE">
        <w:rPr>
          <w:rFonts w:cs="Times New Roman" w:hint="eastAsia"/>
          <w:sz w:val="18"/>
          <w:szCs w:val="18"/>
        </w:rPr>
        <w:t>已获授但尚未</w:t>
      </w:r>
      <w:proofErr w:type="gramEnd"/>
      <w:r w:rsidRPr="00C067EE">
        <w:rPr>
          <w:rFonts w:cs="Times New Roman" w:hint="eastAsia"/>
          <w:sz w:val="18"/>
          <w:szCs w:val="18"/>
        </w:rPr>
        <w:t>行权的股票期权合计226,800份予以注销。公司独立董事对此发表了独立意见，公司监事会对上述议案发表了核查意见。</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公司董事、高级管理人员获得的股权激励情况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Layout w:type="fixed"/>
        <w:tblLook w:val="04A0" w:firstRow="1" w:lastRow="0" w:firstColumn="1" w:lastColumn="0" w:noHBand="0" w:noVBand="1"/>
      </w:tblPr>
      <w:tblGrid>
        <w:gridCol w:w="689"/>
        <w:gridCol w:w="689"/>
        <w:gridCol w:w="689"/>
        <w:gridCol w:w="689"/>
        <w:gridCol w:w="689"/>
        <w:gridCol w:w="689"/>
        <w:gridCol w:w="689"/>
        <w:gridCol w:w="688"/>
        <w:gridCol w:w="688"/>
        <w:gridCol w:w="688"/>
        <w:gridCol w:w="688"/>
        <w:gridCol w:w="688"/>
        <w:gridCol w:w="688"/>
        <w:gridCol w:w="688"/>
      </w:tblGrid>
      <w:tr w:rsidR="00157EA0">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年初持有股票期权数量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报告期新授予股票期权数量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报告期内可行权股数</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报告期内已行权股数</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报告期内已行权股数行权价格（元/股）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期末持有股票期权数量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报告期末市价（元/股）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期初持有限制性股票数量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本期已解锁股份数量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报告期新授予限制性股票数量</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限制性股票的授予价格（元/股）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期末持有限制性股票数量</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董事长、总裁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董事、董事会秘书、财务总监</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1,900,000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杨慧丽</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1,900,000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李云涛</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向坤宏</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刘峰</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鲁丽娜</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254,600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204,600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武守涛</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王志明</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r>
      <w:tr w:rsidR="00157EA0">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3,600,000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3,600,000</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4,854,600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1,920,000</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8,000,000</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12,254,600</w:t>
            </w:r>
          </w:p>
        </w:tc>
      </w:tr>
      <w:tr w:rsidR="00157EA0">
        <w:trPr>
          <w:trHeight w:val="240"/>
        </w:trPr>
        <w:tc>
          <w:tcPr>
            <w:tcW w:w="1377"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备注（如有）</w:t>
            </w:r>
          </w:p>
        </w:tc>
        <w:tc>
          <w:tcPr>
            <w:tcW w:w="8262" w:type="dxa"/>
            <w:gridSpan w:val="1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高级管理人员的考评机制及激励情况</w:t>
      </w:r>
    </w:p>
    <w:p w:rsidR="008D4B2E" w:rsidRDefault="008D4B2E">
      <w:pPr>
        <w:pStyle w:val="a3"/>
        <w:spacing w:before="0" w:beforeAutospacing="0" w:after="0" w:afterAutospacing="0"/>
        <w:ind w:firstLine="360"/>
        <w:divId w:val="754130122"/>
      </w:pPr>
      <w:r>
        <w:rPr>
          <w:rFonts w:hint="eastAsia"/>
          <w:sz w:val="18"/>
          <w:szCs w:val="18"/>
        </w:rPr>
        <w:t>公司建立了完善的人力资源管理体系，包括招聘、培训、薪酬福利和绩效评估体系等。公司高级管理人员的收入与工作业绩直接挂钩。在公司领取薪酬的董事、监事和高级管理人员的报酬，依据《公司管理干部绩效考核办法》及《员工绩效考核管理办法》予以确定。薪酬与考核委员会负责对高级管理人员的工作能力、履职情况、责任目标完成情况进行考评，制定薪酬方案，并报公司董事会审议。</w:t>
      </w:r>
    </w:p>
    <w:p w:rsidR="008D4B2E" w:rsidRDefault="008D4B2E">
      <w:pPr>
        <w:pStyle w:val="a3"/>
        <w:spacing w:before="0" w:beforeAutospacing="0" w:after="0" w:afterAutospacing="0"/>
        <w:ind w:firstLine="360"/>
        <w:divId w:val="754130122"/>
      </w:pPr>
      <w:r>
        <w:rPr>
          <w:rFonts w:ascii="Times New Roman" w:hAnsi="Times New Roman" w:cs="Times New Roman"/>
          <w:sz w:val="18"/>
          <w:szCs w:val="18"/>
        </w:rPr>
        <w:t>2023</w:t>
      </w:r>
      <w:r>
        <w:rPr>
          <w:rFonts w:hint="eastAsia"/>
          <w:sz w:val="18"/>
          <w:szCs w:val="18"/>
        </w:rPr>
        <w:t>年公司高级管理人员能够严格按照《公司法》《公司章程》及国家有关法律法规认真履行职责，积极落实公司股东大会和董事会相关决议，认真履行工作职责。公司各项考评及激励机制执行情况良好，发挥了应有的激励和约束作用。</w:t>
      </w:r>
    </w:p>
    <w:p w:rsidR="00BA0365" w:rsidRDefault="008D4B2E">
      <w:pPr>
        <w:pStyle w:val="3"/>
        <w:spacing w:line="280" w:lineRule="exact"/>
        <w:jc w:val="left"/>
        <w:rPr>
          <w:rFonts w:ascii="宋体" w:hAnsi="宋体" w:cs="宋体"/>
          <w:b/>
          <w:bCs/>
        </w:rPr>
      </w:pPr>
      <w:bookmarkStart w:id="81" w:name="_Toc988970"/>
      <w:r>
        <w:rPr>
          <w:rFonts w:ascii="宋体" w:hAnsi="宋体" w:cs="宋体"/>
          <w:b/>
          <w:bCs/>
        </w:rPr>
        <w:t>2、员工持股计划的实施情况</w:t>
      </w:r>
      <w:bookmarkEnd w:id="8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报告期内全部有效的员工持股计划情况</w:t>
      </w:r>
    </w:p>
    <w:tbl>
      <w:tblPr>
        <w:tblW w:w="9639" w:type="dxa"/>
        <w:tblLayout w:type="fixed"/>
        <w:tblLook w:val="04A0" w:firstRow="1" w:lastRow="0" w:firstColumn="1" w:lastColumn="0" w:noHBand="0" w:noVBand="1"/>
      </w:tblPr>
      <w:tblGrid>
        <w:gridCol w:w="1606"/>
        <w:gridCol w:w="629"/>
        <w:gridCol w:w="1134"/>
        <w:gridCol w:w="3685"/>
        <w:gridCol w:w="1418"/>
        <w:gridCol w:w="1167"/>
      </w:tblGrid>
      <w:tr w:rsidR="00157EA0" w:rsidTr="00C067EE">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员工的范围</w:t>
            </w:r>
          </w:p>
        </w:tc>
        <w:tc>
          <w:tcPr>
            <w:tcW w:w="62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员工人数</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持有的股票总数（股）</w:t>
            </w:r>
          </w:p>
        </w:tc>
        <w:tc>
          <w:tcPr>
            <w:tcW w:w="368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变更情况</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占上市公司股本总额的比例</w:t>
            </w:r>
          </w:p>
        </w:tc>
        <w:tc>
          <w:tcPr>
            <w:tcW w:w="11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实施计划的资金来源</w:t>
            </w:r>
          </w:p>
        </w:tc>
      </w:tr>
      <w:tr w:rsidR="00157EA0" w:rsidTr="00C067EE">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经董事会认定对公司发展有贡献的公司（含控股子公司）的董事、监事、高级管理人员、公司中高层管理人员、公司核心技术及其他员工</w:t>
            </w:r>
          </w:p>
        </w:tc>
        <w:tc>
          <w:tcPr>
            <w:tcW w:w="62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27,360,900</w:t>
            </w:r>
          </w:p>
        </w:tc>
        <w:tc>
          <w:tcPr>
            <w:tcW w:w="36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4月17日召开第七届董事会第七次会议、第七届监事会第六次会议，审议通过了《关于修订2019年员工持股计划公司业绩考核指标的议案》，同意修订2019年员工持股计划公司业绩考核指标。并相应的修订了《员工持股计划草案》及《员工持股计划管理办法》。相关公告详见2020年4月21日的巨潮资讯网（http://www.cninfo.com.cn）及指定信息披露媒体。</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2.70%</w:t>
            </w:r>
          </w:p>
        </w:tc>
        <w:tc>
          <w:tcPr>
            <w:tcW w:w="116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员工的合法薪酬、自筹资金等</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报告期内董事、监事、高级管理人员在员工持股计划中的持股情况</w:t>
      </w:r>
    </w:p>
    <w:tbl>
      <w:tblPr>
        <w:tblW w:w="9639" w:type="dxa"/>
        <w:tblLayout w:type="fixed"/>
        <w:tblLook w:val="04A0" w:firstRow="1" w:lastRow="0" w:firstColumn="1" w:lastColumn="0" w:noHBand="0" w:noVBand="1"/>
      </w:tblPr>
      <w:tblGrid>
        <w:gridCol w:w="1101"/>
        <w:gridCol w:w="2754"/>
        <w:gridCol w:w="1928"/>
        <w:gridCol w:w="1928"/>
        <w:gridCol w:w="1928"/>
      </w:tblGrid>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姓名</w:t>
            </w:r>
          </w:p>
        </w:tc>
        <w:tc>
          <w:tcPr>
            <w:tcW w:w="275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职务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报告期初持股数（股）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报告期末持股数（股）</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占上市公司股本总额的比例</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何宁</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高级顾问</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董事长、总裁</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董事、董事会秘书、财务总监</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刘峰</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向坤宏</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鲁丽娜</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副总裁</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28077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周丹丹</w:t>
            </w:r>
          </w:p>
        </w:tc>
        <w:tc>
          <w:tcPr>
            <w:tcW w:w="275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监事</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报告期内资产管理机构的变更情况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报告期内因持有人处置份额等引起的权益变动情况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D4B2E" w:rsidRPr="007370FD" w:rsidRDefault="008D4B2E" w:rsidP="007370FD">
      <w:pPr>
        <w:spacing w:before="100" w:after="100" w:line="240" w:lineRule="exact"/>
        <w:rPr>
          <w:rFonts w:ascii="宋体" w:eastAsia="宋体" w:hAnsi="宋体" w:cs="宋体"/>
          <w:sz w:val="18"/>
          <w:szCs w:val="18"/>
        </w:rPr>
      </w:pPr>
      <w:r>
        <w:rPr>
          <w:rFonts w:ascii="宋体" w:eastAsia="宋体" w:hAnsi="宋体" w:cs="宋体"/>
          <w:sz w:val="18"/>
          <w:szCs w:val="18"/>
        </w:rPr>
        <w:t>报告期</w:t>
      </w:r>
      <w:proofErr w:type="gramStart"/>
      <w:r>
        <w:rPr>
          <w:rFonts w:ascii="宋体" w:eastAsia="宋体" w:hAnsi="宋体" w:cs="宋体"/>
          <w:sz w:val="18"/>
          <w:szCs w:val="18"/>
        </w:rPr>
        <w:t>内股东</w:t>
      </w:r>
      <w:proofErr w:type="gramEnd"/>
      <w:r>
        <w:rPr>
          <w:rFonts w:ascii="宋体" w:eastAsia="宋体" w:hAnsi="宋体" w:cs="宋体"/>
          <w:sz w:val="18"/>
          <w:szCs w:val="18"/>
        </w:rPr>
        <w:t>权利行使的情况</w:t>
      </w:r>
      <w:r w:rsidR="007370FD">
        <w:rPr>
          <w:rFonts w:ascii="宋体" w:eastAsia="宋体" w:hAnsi="宋体" w:cs="宋体"/>
          <w:sz w:val="18"/>
          <w:szCs w:val="18"/>
        </w:rPr>
        <w:t>：无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报告期内员工持股计划的其他相关情形及说明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员工持股计划管理委员会成员发生变化</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员工持股计划对报告</w:t>
      </w:r>
      <w:proofErr w:type="gramStart"/>
      <w:r>
        <w:rPr>
          <w:rFonts w:ascii="宋体" w:eastAsia="宋体" w:hAnsi="宋体" w:cs="宋体"/>
          <w:sz w:val="18"/>
          <w:szCs w:val="18"/>
        </w:rPr>
        <w:t>期上市</w:t>
      </w:r>
      <w:proofErr w:type="gramEnd"/>
      <w:r>
        <w:rPr>
          <w:rFonts w:ascii="宋体" w:eastAsia="宋体" w:hAnsi="宋体" w:cs="宋体"/>
          <w:sz w:val="18"/>
          <w:szCs w:val="18"/>
        </w:rPr>
        <w:t>公司的财务影响及相关会计处理</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报告期内员工持股计划终止的情况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D4B2E" w:rsidRDefault="008D4B2E">
      <w:pPr>
        <w:pStyle w:val="a3"/>
        <w:spacing w:before="0" w:beforeAutospacing="0" w:after="0" w:afterAutospacing="0"/>
        <w:ind w:firstLine="360"/>
        <w:divId w:val="1575316270"/>
      </w:pPr>
      <w:r>
        <w:rPr>
          <w:rFonts w:ascii="Times New Roman" w:hAnsi="Times New Roman" w:cs="Times New Roman"/>
          <w:sz w:val="18"/>
          <w:szCs w:val="18"/>
        </w:rPr>
        <w:t>2023</w:t>
      </w:r>
      <w:r>
        <w:rPr>
          <w:rFonts w:hint="eastAsia"/>
          <w:sz w:val="18"/>
          <w:szCs w:val="18"/>
        </w:rPr>
        <w:t>年</w:t>
      </w:r>
      <w:r>
        <w:rPr>
          <w:rFonts w:ascii="Times New Roman" w:hAnsi="Times New Roman" w:cs="Times New Roman"/>
          <w:sz w:val="18"/>
          <w:szCs w:val="18"/>
        </w:rPr>
        <w:t>1</w:t>
      </w:r>
      <w:r>
        <w:rPr>
          <w:rFonts w:hint="eastAsia"/>
          <w:sz w:val="18"/>
          <w:szCs w:val="18"/>
        </w:rPr>
        <w:t>月</w:t>
      </w:r>
      <w:r>
        <w:rPr>
          <w:rFonts w:ascii="Times New Roman" w:hAnsi="Times New Roman" w:cs="Times New Roman"/>
          <w:sz w:val="18"/>
          <w:szCs w:val="18"/>
        </w:rPr>
        <w:t>20</w:t>
      </w:r>
      <w:r>
        <w:rPr>
          <w:rFonts w:hint="eastAsia"/>
          <w:sz w:val="18"/>
          <w:szCs w:val="18"/>
        </w:rPr>
        <w:t>日，公司</w:t>
      </w:r>
      <w:r>
        <w:rPr>
          <w:rFonts w:ascii="Times New Roman" w:hAnsi="Times New Roman" w:cs="Times New Roman"/>
          <w:sz w:val="18"/>
          <w:szCs w:val="18"/>
        </w:rPr>
        <w:t>2019</w:t>
      </w:r>
      <w:r>
        <w:rPr>
          <w:rFonts w:hint="eastAsia"/>
          <w:sz w:val="18"/>
          <w:szCs w:val="18"/>
        </w:rPr>
        <w:t>年员工持股计划第三个锁定期届满，第三批锁定期解锁数量为8,208,270股</w:t>
      </w:r>
      <w:r>
        <w:rPr>
          <w:rFonts w:ascii="Times New Roman" w:hAnsi="Times New Roman" w:cs="Times New Roman"/>
          <w:sz w:val="18"/>
          <w:szCs w:val="18"/>
        </w:rPr>
        <w:t>,</w:t>
      </w:r>
      <w:r>
        <w:rPr>
          <w:rFonts w:hint="eastAsia"/>
          <w:sz w:val="18"/>
          <w:szCs w:val="18"/>
        </w:rPr>
        <w:t>占公司目前总股本的0.81</w:t>
      </w:r>
      <w:r>
        <w:rPr>
          <w:rFonts w:ascii="Times New Roman" w:hAnsi="Times New Roman" w:cs="Times New Roman"/>
          <w:sz w:val="18"/>
          <w:szCs w:val="18"/>
        </w:rPr>
        <w:t>%</w:t>
      </w:r>
      <w:r>
        <w:rPr>
          <w:rFonts w:hint="eastAsia"/>
          <w:sz w:val="18"/>
          <w:szCs w:val="18"/>
        </w:rPr>
        <w:t>。相关公告详见</w:t>
      </w:r>
      <w:r>
        <w:rPr>
          <w:rFonts w:ascii="Times New Roman" w:hAnsi="Times New Roman" w:cs="Times New Roman"/>
          <w:sz w:val="18"/>
          <w:szCs w:val="18"/>
        </w:rPr>
        <w:t>2023</w:t>
      </w:r>
      <w:r>
        <w:rPr>
          <w:rFonts w:hint="eastAsia"/>
          <w:sz w:val="18"/>
          <w:szCs w:val="18"/>
        </w:rPr>
        <w:t>年</w:t>
      </w:r>
      <w:r>
        <w:rPr>
          <w:rFonts w:ascii="Times New Roman" w:hAnsi="Times New Roman" w:cs="Times New Roman"/>
          <w:sz w:val="18"/>
          <w:szCs w:val="18"/>
        </w:rPr>
        <w:t>1</w:t>
      </w:r>
      <w:r>
        <w:rPr>
          <w:rFonts w:hint="eastAsia"/>
          <w:sz w:val="18"/>
          <w:szCs w:val="18"/>
        </w:rPr>
        <w:t>月</w:t>
      </w:r>
      <w:r>
        <w:rPr>
          <w:rFonts w:ascii="Times New Roman" w:hAnsi="Times New Roman" w:cs="Times New Roman"/>
          <w:sz w:val="18"/>
          <w:szCs w:val="18"/>
        </w:rPr>
        <w:t>19</w:t>
      </w:r>
      <w:r>
        <w:rPr>
          <w:rFonts w:hint="eastAsia"/>
          <w:sz w:val="18"/>
          <w:szCs w:val="18"/>
        </w:rPr>
        <w:t>日的巨潮资讯网（</w:t>
      </w:r>
      <w:r>
        <w:rPr>
          <w:rFonts w:ascii="Times New Roman" w:hAnsi="Times New Roman" w:cs="Times New Roman"/>
          <w:sz w:val="18"/>
          <w:szCs w:val="18"/>
        </w:rPr>
        <w:t>http://www.cninfo.com.cn</w:t>
      </w:r>
      <w:r>
        <w:rPr>
          <w:rFonts w:hint="eastAsia"/>
          <w:sz w:val="18"/>
          <w:szCs w:val="18"/>
        </w:rPr>
        <w:t>）及《证券时报》《中国证券报》《上海证券报》《证券日报》。</w:t>
      </w:r>
    </w:p>
    <w:p w:rsidR="00BA0365" w:rsidRDefault="008D4B2E">
      <w:pPr>
        <w:pStyle w:val="3"/>
        <w:spacing w:line="280" w:lineRule="exact"/>
        <w:jc w:val="left"/>
        <w:rPr>
          <w:rFonts w:ascii="宋体" w:hAnsi="宋体" w:cs="宋体"/>
          <w:b/>
          <w:bCs/>
        </w:rPr>
      </w:pPr>
      <w:bookmarkStart w:id="82" w:name="_Toc988971"/>
      <w:r>
        <w:rPr>
          <w:rFonts w:ascii="宋体" w:hAnsi="宋体" w:cs="宋体"/>
          <w:b/>
          <w:bCs/>
        </w:rPr>
        <w:t>3、其他员工激励措施</w:t>
      </w:r>
      <w:bookmarkEnd w:id="8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83" w:name="_Toc988972"/>
      <w:r>
        <w:rPr>
          <w:rFonts w:ascii="宋体" w:eastAsia="宋体" w:hAnsi="宋体" w:cs="宋体"/>
          <w:b/>
          <w:bCs/>
          <w:sz w:val="24"/>
          <w:szCs w:val="24"/>
        </w:rPr>
        <w:t>十二、报告期内的内部控制制度建设及实施情况</w:t>
      </w:r>
      <w:bookmarkEnd w:id="83"/>
    </w:p>
    <w:p w:rsidR="00BA0365" w:rsidRDefault="008D4B2E">
      <w:pPr>
        <w:pStyle w:val="3"/>
        <w:spacing w:line="280" w:lineRule="exact"/>
        <w:jc w:val="left"/>
        <w:rPr>
          <w:rFonts w:ascii="宋体" w:hAnsi="宋体" w:cs="宋体"/>
          <w:b/>
          <w:bCs/>
        </w:rPr>
      </w:pPr>
      <w:bookmarkStart w:id="84" w:name="_Toc988973"/>
      <w:r>
        <w:rPr>
          <w:rFonts w:ascii="宋体" w:hAnsi="宋体" w:cs="宋体"/>
          <w:b/>
          <w:bCs/>
        </w:rPr>
        <w:t>1、内部控制建设及实施情况</w:t>
      </w:r>
      <w:bookmarkEnd w:id="84"/>
    </w:p>
    <w:p w:rsidR="008D4B2E" w:rsidRDefault="008D4B2E">
      <w:pPr>
        <w:pStyle w:val="a3"/>
        <w:spacing w:before="0" w:beforeAutospacing="0" w:after="0" w:afterAutospacing="0"/>
        <w:ind w:firstLine="360"/>
        <w:divId w:val="1726753617"/>
      </w:pPr>
      <w:r>
        <w:rPr>
          <w:rFonts w:hint="eastAsia"/>
          <w:sz w:val="18"/>
          <w:szCs w:val="18"/>
        </w:rPr>
        <w:t>公司根据《公司法》《证券法》《企业内部控制基本规范》《深圳证券交易所股票上市规则》等法律、法规，建立健全和有效实施内部控制，合理保证了经营管理合法合</w:t>
      </w:r>
      <w:proofErr w:type="gramStart"/>
      <w:r>
        <w:rPr>
          <w:rFonts w:hint="eastAsia"/>
          <w:sz w:val="18"/>
          <w:szCs w:val="18"/>
        </w:rPr>
        <w:t>规</w:t>
      </w:r>
      <w:proofErr w:type="gramEnd"/>
      <w:r>
        <w:rPr>
          <w:rFonts w:hint="eastAsia"/>
          <w:sz w:val="18"/>
          <w:szCs w:val="18"/>
        </w:rPr>
        <w:t>、资产安全、财务报告及相关信息真实完整，提高经营效率和效果。公司及时修订、补充和完善日常经营管理规定，内控运行机制有效，达到了内部控制预期目标，保障了公司及全体股东的利益，为公司健康、快速的发展奠定了良好的制度基础。公司《</w:t>
      </w:r>
      <w:r>
        <w:rPr>
          <w:rFonts w:ascii="Times New Roman" w:hAnsi="Times New Roman" w:cs="Times New Roman"/>
          <w:sz w:val="18"/>
          <w:szCs w:val="18"/>
        </w:rPr>
        <w:t>2023</w:t>
      </w:r>
      <w:r>
        <w:rPr>
          <w:rFonts w:hint="eastAsia"/>
          <w:sz w:val="18"/>
          <w:szCs w:val="18"/>
        </w:rPr>
        <w:t>年度内部控制自我评价报告》全面、真实、准确地反映了公司内部控制的实际情况，报告期公司不存在内部控制重大缺陷和重要缺陷。</w:t>
      </w:r>
    </w:p>
    <w:p w:rsidR="00BA0365" w:rsidRDefault="008D4B2E">
      <w:pPr>
        <w:pStyle w:val="3"/>
        <w:spacing w:line="280" w:lineRule="exact"/>
        <w:jc w:val="left"/>
        <w:rPr>
          <w:rFonts w:ascii="宋体" w:hAnsi="宋体" w:cs="宋体"/>
          <w:b/>
          <w:bCs/>
        </w:rPr>
      </w:pPr>
      <w:bookmarkStart w:id="85" w:name="_Toc988974"/>
      <w:r>
        <w:rPr>
          <w:rFonts w:ascii="宋体" w:hAnsi="宋体" w:cs="宋体"/>
          <w:b/>
          <w:bCs/>
        </w:rPr>
        <w:t>2、报告期内发现的内部控制重大缺陷的具体情况</w:t>
      </w:r>
      <w:bookmarkEnd w:id="8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2"/>
        <w:spacing w:before="300" w:after="300" w:line="320" w:lineRule="exact"/>
        <w:rPr>
          <w:rFonts w:ascii="宋体" w:eastAsia="宋体" w:hAnsi="宋体" w:cs="宋体"/>
          <w:b/>
          <w:bCs/>
          <w:sz w:val="24"/>
          <w:szCs w:val="24"/>
        </w:rPr>
      </w:pPr>
      <w:bookmarkStart w:id="86" w:name="_Toc988975"/>
      <w:r>
        <w:rPr>
          <w:rFonts w:ascii="宋体" w:eastAsia="宋体" w:hAnsi="宋体" w:cs="宋体"/>
          <w:b/>
          <w:bCs/>
          <w:sz w:val="24"/>
          <w:szCs w:val="24"/>
        </w:rPr>
        <w:t>十三、公司报告期内对子公司的管理控制情况</w:t>
      </w:r>
      <w:bookmarkEnd w:id="86"/>
    </w:p>
    <w:p w:rsidR="00280776" w:rsidRPr="00280776" w:rsidRDefault="00280776" w:rsidP="00280776">
      <w:pPr>
        <w:spacing w:before="100" w:after="100" w:line="240" w:lineRule="exact"/>
        <w:rPr>
          <w:rFonts w:ascii="宋体" w:eastAsia="宋体" w:hAnsi="宋体" w:cs="宋体"/>
          <w:sz w:val="18"/>
          <w:szCs w:val="18"/>
        </w:rPr>
      </w:pPr>
      <w:r>
        <w:rPr>
          <w:rFonts w:ascii="宋体" w:eastAsia="宋体" w:hAnsi="宋体" w:cs="宋体" w:hint="eastAsia"/>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87" w:name="_Toc988976"/>
      <w:r>
        <w:rPr>
          <w:rFonts w:ascii="宋体" w:eastAsia="宋体" w:hAnsi="宋体" w:cs="宋体"/>
          <w:b/>
          <w:bCs/>
          <w:sz w:val="24"/>
          <w:szCs w:val="24"/>
        </w:rPr>
        <w:t>十四、内部控制评价报告或内部控制审计报告</w:t>
      </w:r>
      <w:bookmarkEnd w:id="87"/>
    </w:p>
    <w:p w:rsidR="00BA0365" w:rsidRDefault="008D4B2E">
      <w:pPr>
        <w:pStyle w:val="3"/>
        <w:spacing w:line="280" w:lineRule="exact"/>
        <w:jc w:val="left"/>
        <w:rPr>
          <w:rFonts w:ascii="宋体" w:hAnsi="宋体" w:cs="宋体"/>
          <w:b/>
          <w:bCs/>
        </w:rPr>
      </w:pPr>
      <w:bookmarkStart w:id="88" w:name="_Toc988977"/>
      <w:r>
        <w:rPr>
          <w:rFonts w:ascii="宋体" w:hAnsi="宋体" w:cs="宋体"/>
          <w:b/>
          <w:bCs/>
        </w:rPr>
        <w:t>1、内控评价报告</w:t>
      </w:r>
      <w:bookmarkEnd w:id="88"/>
    </w:p>
    <w:tbl>
      <w:tblPr>
        <w:tblW w:w="9639" w:type="dxa"/>
        <w:tblLayout w:type="fixed"/>
        <w:tblLook w:val="04A0" w:firstRow="1" w:lastRow="0" w:firstColumn="1" w:lastColumn="0" w:noHBand="0" w:noVBand="1"/>
      </w:tblPr>
      <w:tblGrid>
        <w:gridCol w:w="2691"/>
        <w:gridCol w:w="4110"/>
        <w:gridCol w:w="2838"/>
      </w:tblGrid>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内部控制评价报告全文披露日期</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2024年04月03日</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内部控制评价报告全文披露索引</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《2023年度内部控制自我评价报告》详见"巨潮资讯网"（www.cninfo.com.cn）</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纳入评价范围单位资产总额占公司合并财务报表资产总额的比例</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纳入评价范围单位营业收入占公司合并财务报表营业收入的</w:t>
            </w:r>
            <w:r>
              <w:rPr>
                <w:rFonts w:ascii="宋体" w:eastAsia="宋体" w:hAnsi="宋体" w:cs="宋体"/>
                <w:sz w:val="18"/>
                <w:szCs w:val="18"/>
              </w:rPr>
              <w:lastRenderedPageBreak/>
              <w:t>比例</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100.00%</w:t>
            </w:r>
          </w:p>
        </w:tc>
      </w:tr>
      <w:tr w:rsidR="00157EA0">
        <w:trPr>
          <w:trHeight w:val="240"/>
        </w:trPr>
        <w:tc>
          <w:tcPr>
            <w:tcW w:w="963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缺陷认定标准</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1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财务报告</w:t>
            </w:r>
          </w:p>
        </w:tc>
        <w:tc>
          <w:tcPr>
            <w:tcW w:w="283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非财务报告</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定性标准</w:t>
            </w:r>
          </w:p>
        </w:tc>
        <w:tc>
          <w:tcPr>
            <w:tcW w:w="41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重大缺陷的迹象包括：控制环境无效；公司董事、监事和高级管理人员的舞弊行为；公司更正已公布的财务报告、注册会计师发现的却未被公司内部控制识别的当期财务报告中的重大错报；审计委员会和审计部门对公司的对外财务报告和财务报告内部控制监督无效；其他可能影响报表使用者正确判断的缺陷。</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2、重要缺陷的迹象包括：未依照公认会计准则选择和应用会计政策；未建立反舞弊程序和控制措施；对于非常规或特殊交易的账务处理没有建立相应的控制机制或没有实施且没有相应的补偿性控制；对于期末财务报告过程的控制存在一项或多项缺陷且不能合理保证编制的财务报表达到真实、准确的目标。</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3、一般缺陷是指除上述重大缺陷、重要缺陷之外的其他控制缺陷。</w:t>
            </w:r>
          </w:p>
        </w:tc>
        <w:tc>
          <w:tcPr>
            <w:tcW w:w="283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财务报告缺陷认定主要以缺陷对业务流程有效性的影响程度、发生的可能性作判定。如果缺陷发生的可能性较小，会降低工作效率或效果、或加大效果的不确定性、或使之偏离预期目标为一般缺陷；如果缺陷发生的可能性较高，会显著降低工作效率或效果、或显著加大效果的不确定性、或使之显著偏离预期目标为重要缺陷；如果缺陷发生的可能性高，会严重降低工作效率或效果、或严重加大效果的不确定性、或使之严重偏离预期目标为重大缺陷。</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定量标准</w:t>
            </w:r>
          </w:p>
        </w:tc>
        <w:tc>
          <w:tcPr>
            <w:tcW w:w="41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重大缺陷：潜在错报金额≥资产总额1%；重要缺陷：资产总额0.5%≤潜在错报金额＜资产总额1%；一般缺陷：潜在错报金额＜资产总额0.5%</w:t>
            </w:r>
          </w:p>
        </w:tc>
        <w:tc>
          <w:tcPr>
            <w:tcW w:w="283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重大缺陷：1000万元以上；重要缺陷：500万元-1000万元；一般缺陷：500万元（含500万元）以下</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财务报告重大缺陷数量（</w:t>
            </w:r>
            <w:proofErr w:type="gramStart"/>
            <w:r>
              <w:rPr>
                <w:rFonts w:ascii="宋体" w:eastAsia="宋体" w:hAnsi="宋体" w:cs="宋体"/>
                <w:sz w:val="18"/>
                <w:szCs w:val="18"/>
              </w:rPr>
              <w:t>个</w:t>
            </w:r>
            <w:proofErr w:type="gramEnd"/>
            <w:r>
              <w:rPr>
                <w:rFonts w:ascii="宋体" w:eastAsia="宋体" w:hAnsi="宋体" w:cs="宋体"/>
                <w:sz w:val="18"/>
                <w:szCs w:val="18"/>
              </w:rPr>
              <w:t>）</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非财务报告重大缺陷数量（</w:t>
            </w:r>
            <w:proofErr w:type="gramStart"/>
            <w:r>
              <w:rPr>
                <w:rFonts w:ascii="宋体" w:eastAsia="宋体" w:hAnsi="宋体" w:cs="宋体"/>
                <w:sz w:val="18"/>
                <w:szCs w:val="18"/>
              </w:rPr>
              <w:t>个</w:t>
            </w:r>
            <w:proofErr w:type="gramEnd"/>
            <w:r>
              <w:rPr>
                <w:rFonts w:ascii="宋体" w:eastAsia="宋体" w:hAnsi="宋体" w:cs="宋体"/>
                <w:sz w:val="18"/>
                <w:szCs w:val="18"/>
              </w:rPr>
              <w:t>）</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财务报告重要缺陷数量（</w:t>
            </w:r>
            <w:proofErr w:type="gramStart"/>
            <w:r>
              <w:rPr>
                <w:rFonts w:ascii="宋体" w:eastAsia="宋体" w:hAnsi="宋体" w:cs="宋体"/>
                <w:sz w:val="18"/>
                <w:szCs w:val="18"/>
              </w:rPr>
              <w:t>个</w:t>
            </w:r>
            <w:proofErr w:type="gramEnd"/>
            <w:r>
              <w:rPr>
                <w:rFonts w:ascii="宋体" w:eastAsia="宋体" w:hAnsi="宋体" w:cs="宋体"/>
                <w:sz w:val="18"/>
                <w:szCs w:val="18"/>
              </w:rPr>
              <w:t>）</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7370FD">
        <w:trPr>
          <w:trHeight w:val="240"/>
        </w:trPr>
        <w:tc>
          <w:tcPr>
            <w:tcW w:w="269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非财务报告重要缺陷数量（</w:t>
            </w:r>
            <w:proofErr w:type="gramStart"/>
            <w:r>
              <w:rPr>
                <w:rFonts w:ascii="宋体" w:eastAsia="宋体" w:hAnsi="宋体" w:cs="宋体"/>
                <w:sz w:val="18"/>
                <w:szCs w:val="18"/>
              </w:rPr>
              <w:t>个</w:t>
            </w:r>
            <w:proofErr w:type="gramEnd"/>
            <w:r>
              <w:rPr>
                <w:rFonts w:ascii="宋体" w:eastAsia="宋体" w:hAnsi="宋体" w:cs="宋体"/>
                <w:sz w:val="18"/>
                <w:szCs w:val="18"/>
              </w:rPr>
              <w:t>）</w:t>
            </w:r>
          </w:p>
        </w:tc>
        <w:tc>
          <w:tcPr>
            <w:tcW w:w="6948"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bl>
    <w:p w:rsidR="00BA0365" w:rsidRDefault="008D4B2E">
      <w:pPr>
        <w:pStyle w:val="3"/>
        <w:spacing w:line="280" w:lineRule="exact"/>
        <w:jc w:val="left"/>
        <w:rPr>
          <w:rFonts w:ascii="宋体" w:hAnsi="宋体" w:cs="宋体"/>
          <w:b/>
          <w:bCs/>
        </w:rPr>
      </w:pPr>
      <w:bookmarkStart w:id="89" w:name="_Toc988978"/>
      <w:r>
        <w:rPr>
          <w:rFonts w:ascii="宋体" w:hAnsi="宋体" w:cs="宋体"/>
          <w:b/>
          <w:bCs/>
        </w:rPr>
        <w:t>2、内部控制审计报告</w:t>
      </w:r>
      <w:bookmarkEnd w:id="8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4820"/>
        <w:gridCol w:w="4819"/>
      </w:tblGrid>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内部控制审计报告中的审议意见段</w:t>
            </w:r>
          </w:p>
        </w:tc>
      </w:tr>
      <w:tr w:rsidR="00157EA0">
        <w:trPr>
          <w:trHeight w:val="240"/>
        </w:trPr>
        <w:tc>
          <w:tcPr>
            <w:tcW w:w="9639"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我们认为，公司于2023年12月31日按照《企业内部控制基本规范》和相关规定在所有重大方面保持了有效的财务报告内部控制。</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内控审计报告披露情况</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披露</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内部控制审计报告全文披露日期</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2024年04月03日</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内部控制审计报告全文披露索引</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巨潮资讯网：（http://www.cninfo.com.cn）</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内控审计报告意见类型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标准无保留意见</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非财务报告是否存在重大缺陷</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会计师事务所是否出具非标准意见的内部控制审计报告</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会计师事务所出具的内部控制审计报告与董事会的自我评价报告意见是否一致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BA0365" w:rsidRDefault="008D4B2E">
      <w:pPr>
        <w:pStyle w:val="2"/>
        <w:spacing w:before="300" w:after="300" w:line="320" w:lineRule="exact"/>
        <w:rPr>
          <w:rFonts w:ascii="宋体" w:eastAsia="宋体" w:hAnsi="宋体" w:cs="宋体"/>
          <w:b/>
          <w:bCs/>
          <w:sz w:val="24"/>
          <w:szCs w:val="24"/>
        </w:rPr>
      </w:pPr>
      <w:bookmarkStart w:id="90" w:name="_Toc988979"/>
      <w:r>
        <w:rPr>
          <w:rFonts w:ascii="宋体" w:eastAsia="宋体" w:hAnsi="宋体" w:cs="宋体"/>
          <w:b/>
          <w:bCs/>
          <w:sz w:val="24"/>
          <w:szCs w:val="24"/>
        </w:rPr>
        <w:t>十五、上市公司治理专项行动自查问题整改情况</w:t>
      </w:r>
      <w:bookmarkEnd w:id="90"/>
    </w:p>
    <w:p w:rsidR="00BA0365" w:rsidRPr="007370FD" w:rsidRDefault="008D4B2E" w:rsidP="007370FD">
      <w:pPr>
        <w:pStyle w:val="a3"/>
        <w:divId w:val="1722711323"/>
        <w:rPr>
          <w:sz w:val="18"/>
          <w:szCs w:val="18"/>
        </w:rPr>
      </w:pPr>
      <w:r>
        <w:rPr>
          <w:rFonts w:hint="eastAsia"/>
          <w:sz w:val="18"/>
          <w:szCs w:val="18"/>
        </w:rPr>
        <w:t>不适用</w:t>
      </w:r>
    </w:p>
    <w:p w:rsidR="00BA0365" w:rsidRDefault="008D4B2E">
      <w:pPr>
        <w:pStyle w:val="headingh1"/>
        <w:spacing w:before="340" w:after="330" w:line="773" w:lineRule="exact"/>
        <w:jc w:val="center"/>
        <w:rPr>
          <w:rFonts w:ascii="宋体" w:eastAsia="宋体" w:hAnsi="宋体" w:cs="宋体"/>
          <w:b/>
          <w:bCs/>
          <w:sz w:val="32"/>
          <w:szCs w:val="32"/>
        </w:rPr>
      </w:pPr>
      <w:bookmarkStart w:id="91" w:name="_Toc988980"/>
      <w:r>
        <w:rPr>
          <w:rFonts w:ascii="宋体" w:eastAsia="宋体" w:hAnsi="宋体" w:cs="宋体"/>
          <w:b/>
          <w:bCs/>
          <w:sz w:val="32"/>
          <w:szCs w:val="32"/>
        </w:rPr>
        <w:lastRenderedPageBreak/>
        <w:t>第五节 环境和社会责任</w:t>
      </w:r>
      <w:bookmarkEnd w:id="91"/>
    </w:p>
    <w:p w:rsidR="00BA0365" w:rsidRDefault="008D4B2E">
      <w:pPr>
        <w:pStyle w:val="2"/>
        <w:spacing w:before="300" w:after="300" w:line="320" w:lineRule="exact"/>
        <w:rPr>
          <w:rFonts w:ascii="宋体" w:eastAsia="宋体" w:hAnsi="宋体" w:cs="宋体"/>
          <w:b/>
          <w:bCs/>
          <w:sz w:val="24"/>
          <w:szCs w:val="24"/>
        </w:rPr>
      </w:pPr>
      <w:bookmarkStart w:id="92" w:name="_Toc988981"/>
      <w:r>
        <w:rPr>
          <w:rFonts w:ascii="宋体" w:eastAsia="宋体" w:hAnsi="宋体" w:cs="宋体"/>
          <w:b/>
          <w:bCs/>
          <w:sz w:val="24"/>
          <w:szCs w:val="24"/>
        </w:rPr>
        <w:t>一、重大环保问题</w:t>
      </w:r>
      <w:bookmarkEnd w:id="9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上市公司及其子公司是否属于环境保护部门公布的重点排污单位</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环境保护相关政策和行业标准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国家法律法规及文件：</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《中华人民共和国环境保护法》；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《中华人民共和国环境影响评价法》；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《中华人民共和国水污染防治法》；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《中华人民共和国大气污染防治法》；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《中华人民共和国固体废物污染环境防治法》；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《中华人民共和国噪声污染防治法》；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《中华人民共和国放射性污染防治法》；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《中华人民共和国节约能源法》；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《放射环境管理办法》；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《电磁辐射环境保护管理办法》；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《放射性同位素与射线装置安全和防护条例》；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《放射性同位素与射线装置安全许可管理办法》；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《放射工作人员健康管理规定》；</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《放射事故管理规定》；</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《建设项目环境影响登记表备案管理办法》；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《建设项目环境影响后评价管理办法》；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《危险废物转移联单管理办法》；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《排污许可管理条例</w:t>
      </w:r>
      <w:r>
        <w:rPr>
          <w:rFonts w:ascii="Calibri" w:hAnsi="Calibri" w:cs="Calibri"/>
          <w:sz w:val="18"/>
          <w:szCs w:val="18"/>
        </w:rPr>
        <w:t>(2021</w:t>
      </w:r>
      <w:r>
        <w:rPr>
          <w:rFonts w:cs="Calibri" w:hint="eastAsia"/>
          <w:sz w:val="18"/>
          <w:szCs w:val="18"/>
        </w:rPr>
        <w:t>版</w:t>
      </w:r>
      <w:r>
        <w:rPr>
          <w:rFonts w:ascii="Calibri" w:hAnsi="Calibri" w:cs="Calibri"/>
          <w:sz w:val="18"/>
          <w:szCs w:val="18"/>
        </w:rPr>
        <w:t>)</w:t>
      </w:r>
      <w:r>
        <w:rPr>
          <w:rFonts w:cs="Calibri" w:hint="eastAsia"/>
          <w:sz w:val="18"/>
          <w:szCs w:val="18"/>
        </w:rPr>
        <w:t>》；</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《企业环境信息依法披露管理办法》；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《重点区域大气污染防治“十二五”规划》；</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《打赢蓝天保卫战三年行动计划》（国发</w:t>
      </w:r>
      <w:r>
        <w:rPr>
          <w:rFonts w:ascii="Calibri" w:hAnsi="Calibri" w:cs="Calibri"/>
          <w:sz w:val="18"/>
          <w:szCs w:val="18"/>
        </w:rPr>
        <w:t>[2018]22</w:t>
      </w:r>
      <w:r>
        <w:rPr>
          <w:rFonts w:cs="Calibri" w:hint="eastAsia"/>
          <w:sz w:val="18"/>
          <w:szCs w:val="18"/>
        </w:rPr>
        <w:t>号）；</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《挥发性有机物（</w:t>
      </w:r>
      <w:r>
        <w:rPr>
          <w:rFonts w:ascii="Calibri" w:hAnsi="Calibri" w:cs="Calibri"/>
          <w:sz w:val="18"/>
          <w:szCs w:val="18"/>
        </w:rPr>
        <w:t>VOCs</w:t>
      </w:r>
      <w:r>
        <w:rPr>
          <w:rFonts w:cs="Calibri" w:hint="eastAsia"/>
          <w:sz w:val="18"/>
          <w:szCs w:val="18"/>
        </w:rPr>
        <w:t>）污染防治技术政策》；</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《重点行业挥发性有机物综合治理方案》；</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《“十三五”挥发性有机物污染防治工作方案》；</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《石化行业挥发性有机污染物综合整治方案》；</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《石化行业泄漏检测与修复技术指南》；</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w:t>
      </w:r>
      <w:r>
        <w:rPr>
          <w:rFonts w:ascii="Calibri" w:hAnsi="Calibri" w:cs="Calibri"/>
          <w:sz w:val="18"/>
          <w:szCs w:val="18"/>
        </w:rPr>
        <w:t xml:space="preserve">VOCs </w:t>
      </w:r>
      <w:r>
        <w:rPr>
          <w:rFonts w:cs="Calibri" w:hint="eastAsia"/>
          <w:sz w:val="18"/>
          <w:szCs w:val="18"/>
        </w:rPr>
        <w:t>污染源排查工作指南》。</w:t>
      </w:r>
    </w:p>
    <w:p w:rsidR="008D4B2E" w:rsidRDefault="008D4B2E">
      <w:pPr>
        <w:pStyle w:val="a3"/>
        <w:spacing w:before="0" w:beforeAutospacing="0" w:after="0" w:afterAutospacing="0"/>
        <w:divId w:val="829449152"/>
        <w:rPr>
          <w:rFonts w:ascii="Calibri" w:hAnsi="Calibri" w:cs="Calibri"/>
          <w:sz w:val="21"/>
          <w:szCs w:val="21"/>
        </w:rPr>
      </w:pPr>
      <w:r>
        <w:rPr>
          <w:rFonts w:ascii="Calibri" w:hAnsi="Calibri" w:cs="Calibri"/>
          <w:sz w:val="21"/>
          <w:szCs w:val="21"/>
        </w:rPr>
        <w:t> </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地方法规和文件：</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《辽宁省“十三五”挥发性有机物污染防治与削减工作实施方案》；</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《辽宁省大气污染防治行动计划实施方案》；</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《辽宁省人民政府办公厅关于蓝天工程的实施意见》；</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《辽宁省环境保护条例》（</w:t>
      </w:r>
      <w:r>
        <w:rPr>
          <w:rFonts w:ascii="Calibri" w:hAnsi="Calibri" w:cs="Calibri"/>
          <w:sz w:val="18"/>
          <w:szCs w:val="18"/>
        </w:rPr>
        <w:t>2010.7.30</w:t>
      </w:r>
      <w:r>
        <w:rPr>
          <w:rFonts w:cs="Calibri" w:hint="eastAsia"/>
          <w:sz w:val="18"/>
          <w:szCs w:val="18"/>
        </w:rPr>
        <w:t>修正）；</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《挥发性有机物排污收费试点办法》石化行业</w:t>
      </w:r>
      <w:r>
        <w:rPr>
          <w:rFonts w:ascii="Calibri" w:hAnsi="Calibri" w:cs="Calibri"/>
          <w:sz w:val="18"/>
          <w:szCs w:val="18"/>
        </w:rPr>
        <w:t>VOCs</w:t>
      </w:r>
      <w:r>
        <w:rPr>
          <w:rFonts w:cs="Calibri" w:hint="eastAsia"/>
          <w:sz w:val="18"/>
          <w:szCs w:val="18"/>
        </w:rPr>
        <w:t>排放量计算办法财税</w:t>
      </w:r>
      <w:r>
        <w:rPr>
          <w:rFonts w:ascii="Calibri" w:hAnsi="Calibri" w:cs="Calibri"/>
          <w:sz w:val="18"/>
          <w:szCs w:val="18"/>
        </w:rPr>
        <w:t>[2015]71</w:t>
      </w:r>
      <w:r>
        <w:rPr>
          <w:rFonts w:cs="Calibri" w:hint="eastAsia"/>
          <w:sz w:val="18"/>
          <w:szCs w:val="18"/>
        </w:rPr>
        <w:t>号；</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《关于</w:t>
      </w:r>
      <w:r>
        <w:rPr>
          <w:rFonts w:ascii="Calibri" w:hAnsi="Calibri" w:cs="Calibri"/>
          <w:sz w:val="18"/>
          <w:szCs w:val="18"/>
        </w:rPr>
        <w:t>〈</w:t>
      </w:r>
      <w:r>
        <w:rPr>
          <w:rFonts w:cs="Calibri" w:hint="eastAsia"/>
          <w:sz w:val="18"/>
          <w:szCs w:val="18"/>
        </w:rPr>
        <w:t>抚顺市“十三五”挥发性有机物污染防治与削减工作实施的方案</w:t>
      </w:r>
      <w:r>
        <w:rPr>
          <w:rFonts w:ascii="Calibri" w:hAnsi="Calibri" w:cs="Calibri"/>
          <w:sz w:val="18"/>
          <w:szCs w:val="18"/>
        </w:rPr>
        <w:t>〉</w:t>
      </w:r>
      <w:r>
        <w:rPr>
          <w:rFonts w:cs="Calibri" w:hint="eastAsia"/>
          <w:sz w:val="18"/>
          <w:szCs w:val="18"/>
        </w:rPr>
        <w:t>的通知》；</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lastRenderedPageBreak/>
        <w:t>《辽宁省打赢蓝天保卫战三年行动方案（</w:t>
      </w:r>
      <w:r>
        <w:rPr>
          <w:rFonts w:ascii="Calibri" w:hAnsi="Calibri" w:cs="Calibri"/>
          <w:sz w:val="18"/>
          <w:szCs w:val="18"/>
        </w:rPr>
        <w:t>2018-2020</w:t>
      </w:r>
      <w:r>
        <w:rPr>
          <w:rFonts w:cs="Calibri" w:hint="eastAsia"/>
          <w:sz w:val="18"/>
          <w:szCs w:val="18"/>
        </w:rPr>
        <w:t>）的通知》；</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《辽宁省大气污染防治行动计划实施方案的通知》；</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《山东省环境保护条例》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《山东省大气污染防治条例》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《山东省水污染防治条例》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《山东省实施</w:t>
      </w:r>
      <w:r>
        <w:rPr>
          <w:rFonts w:ascii="Calibri" w:hAnsi="Calibri" w:cs="Calibri"/>
          <w:sz w:val="18"/>
          <w:szCs w:val="18"/>
        </w:rPr>
        <w:t>〈</w:t>
      </w:r>
      <w:r>
        <w:rPr>
          <w:rFonts w:cs="Calibri" w:hint="eastAsia"/>
          <w:sz w:val="18"/>
          <w:szCs w:val="18"/>
        </w:rPr>
        <w:t>中华人民共和国固体废物污染环境防治法</w:t>
      </w:r>
      <w:r>
        <w:rPr>
          <w:rFonts w:ascii="Calibri" w:hAnsi="Calibri" w:cs="Calibri"/>
          <w:sz w:val="18"/>
          <w:szCs w:val="18"/>
        </w:rPr>
        <w:t>〉</w:t>
      </w:r>
      <w:r>
        <w:rPr>
          <w:rFonts w:cs="Calibri" w:hint="eastAsia"/>
          <w:sz w:val="18"/>
          <w:szCs w:val="18"/>
        </w:rPr>
        <w:t>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《山东省实施</w:t>
      </w:r>
      <w:r>
        <w:rPr>
          <w:rFonts w:ascii="Calibri" w:hAnsi="Calibri" w:cs="Calibri"/>
          <w:sz w:val="18"/>
          <w:szCs w:val="18"/>
        </w:rPr>
        <w:t>〈</w:t>
      </w:r>
      <w:r>
        <w:rPr>
          <w:rFonts w:cs="Calibri" w:hint="eastAsia"/>
          <w:sz w:val="18"/>
          <w:szCs w:val="18"/>
        </w:rPr>
        <w:t>中华人民共和国大气污染防治法</w:t>
      </w:r>
      <w:r>
        <w:rPr>
          <w:rFonts w:ascii="Calibri" w:hAnsi="Calibri" w:cs="Calibri"/>
          <w:sz w:val="18"/>
          <w:szCs w:val="18"/>
        </w:rPr>
        <w:t>〉</w:t>
      </w:r>
      <w:r>
        <w:rPr>
          <w:rFonts w:cs="Calibri" w:hint="eastAsia"/>
          <w:sz w:val="18"/>
          <w:szCs w:val="18"/>
        </w:rPr>
        <w:t>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《山东省环境噪声污染防治条例》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《山东省环境污染行政责任追究办法》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《山东省防治环境污染设施监督管理办法》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《山东省实施</w:t>
      </w:r>
      <w:r>
        <w:rPr>
          <w:rFonts w:ascii="Calibri" w:hAnsi="Calibri" w:cs="Calibri"/>
          <w:sz w:val="18"/>
          <w:szCs w:val="18"/>
        </w:rPr>
        <w:t>〈</w:t>
      </w:r>
      <w:r>
        <w:rPr>
          <w:rFonts w:cs="Calibri" w:hint="eastAsia"/>
          <w:sz w:val="18"/>
          <w:szCs w:val="18"/>
        </w:rPr>
        <w:t>中华人民共和国环境影响评价法</w:t>
      </w:r>
      <w:r>
        <w:rPr>
          <w:rFonts w:ascii="Calibri" w:hAnsi="Calibri" w:cs="Calibri"/>
          <w:sz w:val="18"/>
          <w:szCs w:val="18"/>
        </w:rPr>
        <w:t>〉</w:t>
      </w:r>
      <w:r>
        <w:rPr>
          <w:rFonts w:cs="Calibri" w:hint="eastAsia"/>
          <w:sz w:val="18"/>
          <w:szCs w:val="18"/>
        </w:rPr>
        <w:t>办法》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《青岛市大气污染防治条例》</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《青岛市环境噪声管理规定》</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《生活饮用水卫生监督管理办法》</w:t>
      </w:r>
    </w:p>
    <w:p w:rsidR="008D4B2E" w:rsidRDefault="008D4B2E">
      <w:pPr>
        <w:pStyle w:val="a3"/>
        <w:spacing w:before="0" w:beforeAutospacing="0" w:after="0" w:afterAutospacing="0"/>
        <w:divId w:val="829449152"/>
        <w:rPr>
          <w:rFonts w:ascii="Calibri" w:hAnsi="Calibri" w:cs="Calibri"/>
          <w:sz w:val="21"/>
          <w:szCs w:val="21"/>
        </w:rPr>
      </w:pPr>
      <w:r>
        <w:rPr>
          <w:rFonts w:ascii="Calibri" w:hAnsi="Calibri" w:cs="Calibri"/>
          <w:sz w:val="21"/>
          <w:szCs w:val="21"/>
        </w:rPr>
        <w:t> </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技术规范和行业规范：</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《建设项目环境风险评价技术导则》</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《一般工业固体废物贮存、处置场污染控、处置场污染控制标准》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《危险废物贮存污染控制标准》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《危险废物填埋污染控制标准》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《危险废物识别标志设置技术规范》</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《国家危险废物名录》</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《污水排入城市下水道水质标准》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《挥发性有机物无组织排放控制准标》</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《排污单位自行监测技术指南总则》；</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w:t>
      </w:r>
      <w:r>
        <w:rPr>
          <w:rFonts w:ascii="Calibri" w:hAnsi="Calibri" w:cs="Calibri"/>
          <w:sz w:val="18"/>
          <w:szCs w:val="18"/>
        </w:rPr>
        <w:t>VOCs</w:t>
      </w:r>
      <w:r>
        <w:rPr>
          <w:rFonts w:cs="Calibri" w:hint="eastAsia"/>
          <w:sz w:val="18"/>
          <w:szCs w:val="18"/>
        </w:rPr>
        <w:t>污染源排查工作指南》；</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《石化企业泄漏检测与修复工作指南》；</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《泄漏和敞开液面排放的挥发性有机物检测技术导则》；</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《石化行业挥发性有机物治理实用手册》；</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《挥发性有机物综合治理一厂一策编制技术指南》；</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《石油炼制工业废气治理工程技术规范》。</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《石化行业建设项目挥发性有机物（</w:t>
      </w:r>
      <w:r>
        <w:rPr>
          <w:rFonts w:ascii="Calibri" w:hAnsi="Calibri" w:cs="Calibri"/>
          <w:sz w:val="18"/>
          <w:szCs w:val="18"/>
        </w:rPr>
        <w:t>VOCs</w:t>
      </w:r>
      <w:r>
        <w:rPr>
          <w:rFonts w:cs="Calibri" w:hint="eastAsia"/>
          <w:sz w:val="18"/>
          <w:szCs w:val="18"/>
        </w:rPr>
        <w:t>）排放量估算方法技术指南（试行）》；</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《石化装置挥发性有机化合物泄漏检测规范》；</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《固定源废气监测技术规范》；</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《石油化工行业</w:t>
      </w:r>
      <w:r>
        <w:rPr>
          <w:rFonts w:ascii="Calibri" w:hAnsi="Calibri" w:cs="Calibri"/>
          <w:sz w:val="18"/>
          <w:szCs w:val="18"/>
        </w:rPr>
        <w:t xml:space="preserve">VOCs </w:t>
      </w:r>
      <w:r>
        <w:rPr>
          <w:rFonts w:cs="Calibri" w:hint="eastAsia"/>
          <w:sz w:val="18"/>
          <w:szCs w:val="18"/>
        </w:rPr>
        <w:t>排放量计算方法》（试行）；</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《泄漏和敞开液面排放的挥发性有机物检测技术导则》；</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《大气污染物综合排放标准》；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《石油炼制工业污染物排放标准》；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《石油化学工业污染物排放标准》；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《恶臭污染物排放标准》；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《辽宁省污水综合排放标准》；</w:t>
      </w:r>
    </w:p>
    <w:p w:rsidR="008D4B2E" w:rsidRDefault="008D4B2E">
      <w:pPr>
        <w:pStyle w:val="a3"/>
        <w:spacing w:before="0" w:beforeAutospacing="0" w:after="0" w:afterAutospacing="0"/>
        <w:divId w:val="829449152"/>
        <w:rPr>
          <w:rFonts w:ascii="Calibri" w:hAnsi="Calibri" w:cs="Calibri"/>
          <w:sz w:val="21"/>
          <w:szCs w:val="21"/>
        </w:rPr>
      </w:pPr>
      <w:r>
        <w:rPr>
          <w:rFonts w:cs="Calibri" w:hint="eastAsia"/>
          <w:sz w:val="18"/>
          <w:szCs w:val="18"/>
        </w:rPr>
        <w:t>《挥发性有机物无组织排放控制标准》。</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环境保护行政许可情况</w:t>
      </w:r>
    </w:p>
    <w:p w:rsidR="00C067EE" w:rsidRDefault="008D4B2E" w:rsidP="00C067EE">
      <w:pPr>
        <w:pStyle w:val="a3"/>
        <w:divId w:val="1496843609"/>
        <w:rPr>
          <w:sz w:val="18"/>
          <w:szCs w:val="18"/>
        </w:rPr>
      </w:pPr>
      <w:proofErr w:type="gramStart"/>
      <w:r>
        <w:rPr>
          <w:rFonts w:hint="eastAsia"/>
          <w:sz w:val="18"/>
          <w:szCs w:val="18"/>
        </w:rPr>
        <w:lastRenderedPageBreak/>
        <w:t>软控机电</w:t>
      </w:r>
      <w:proofErr w:type="gramEnd"/>
      <w:r>
        <w:rPr>
          <w:rFonts w:hint="eastAsia"/>
          <w:sz w:val="18"/>
          <w:szCs w:val="18"/>
        </w:rPr>
        <w:t>：</w:t>
      </w:r>
    </w:p>
    <w:p w:rsidR="008D4B2E" w:rsidRPr="00280776" w:rsidRDefault="008D4B2E" w:rsidP="00280776">
      <w:pPr>
        <w:pStyle w:val="a3"/>
        <w:divId w:val="1496843609"/>
        <w:rPr>
          <w:sz w:val="18"/>
          <w:szCs w:val="18"/>
        </w:rPr>
      </w:pPr>
      <w:r>
        <w:rPr>
          <w:rFonts w:cs="Calibri" w:hint="eastAsia"/>
          <w:sz w:val="18"/>
          <w:szCs w:val="18"/>
        </w:rPr>
        <w:t>《排污许可证》有效期</w:t>
      </w:r>
      <w:r>
        <w:rPr>
          <w:rFonts w:ascii="Calibri" w:hAnsi="Calibri" w:cs="Calibri"/>
          <w:sz w:val="18"/>
          <w:szCs w:val="18"/>
        </w:rPr>
        <w:t>2023</w:t>
      </w:r>
      <w:r>
        <w:rPr>
          <w:rFonts w:cs="Calibri" w:hint="eastAsia"/>
          <w:sz w:val="18"/>
          <w:szCs w:val="18"/>
        </w:rPr>
        <w:t>年</w:t>
      </w:r>
      <w:r>
        <w:rPr>
          <w:rFonts w:ascii="Calibri" w:hAnsi="Calibri" w:cs="Calibri"/>
          <w:sz w:val="18"/>
          <w:szCs w:val="18"/>
        </w:rPr>
        <w:t>11</w:t>
      </w:r>
      <w:r>
        <w:rPr>
          <w:rFonts w:cs="Calibri" w:hint="eastAsia"/>
          <w:sz w:val="18"/>
          <w:szCs w:val="18"/>
        </w:rPr>
        <w:t>月</w:t>
      </w:r>
      <w:r>
        <w:rPr>
          <w:rFonts w:ascii="Calibri" w:hAnsi="Calibri" w:cs="Calibri"/>
          <w:sz w:val="18"/>
          <w:szCs w:val="18"/>
        </w:rPr>
        <w:t>24</w:t>
      </w:r>
      <w:r>
        <w:rPr>
          <w:rFonts w:cs="Calibri" w:hint="eastAsia"/>
          <w:sz w:val="18"/>
          <w:szCs w:val="18"/>
        </w:rPr>
        <w:t>日</w:t>
      </w:r>
      <w:r>
        <w:rPr>
          <w:rFonts w:ascii="Calibri" w:hAnsi="Calibri" w:cs="Calibri"/>
          <w:sz w:val="18"/>
          <w:szCs w:val="18"/>
        </w:rPr>
        <w:t>-2028</w:t>
      </w:r>
      <w:r>
        <w:rPr>
          <w:rFonts w:cs="Calibri" w:hint="eastAsia"/>
          <w:sz w:val="18"/>
          <w:szCs w:val="18"/>
        </w:rPr>
        <w:t>年</w:t>
      </w:r>
      <w:r>
        <w:rPr>
          <w:rFonts w:ascii="Calibri" w:hAnsi="Calibri" w:cs="Calibri"/>
          <w:sz w:val="18"/>
          <w:szCs w:val="18"/>
        </w:rPr>
        <w:t>11</w:t>
      </w:r>
      <w:r>
        <w:rPr>
          <w:rFonts w:cs="Calibri" w:hint="eastAsia"/>
          <w:sz w:val="18"/>
          <w:szCs w:val="18"/>
        </w:rPr>
        <w:t>月</w:t>
      </w:r>
      <w:r>
        <w:rPr>
          <w:rFonts w:ascii="Calibri" w:hAnsi="Calibri" w:cs="Calibri"/>
          <w:sz w:val="18"/>
          <w:szCs w:val="18"/>
        </w:rPr>
        <w:t>23</w:t>
      </w:r>
      <w:r>
        <w:rPr>
          <w:rFonts w:cs="Calibri" w:hint="eastAsia"/>
          <w:sz w:val="18"/>
          <w:szCs w:val="18"/>
        </w:rPr>
        <w:t>日。</w:t>
      </w:r>
    </w:p>
    <w:p w:rsidR="008D4B2E" w:rsidRDefault="008D4B2E">
      <w:pPr>
        <w:pStyle w:val="a3"/>
        <w:spacing w:before="0" w:beforeAutospacing="0" w:after="0" w:afterAutospacing="0"/>
        <w:divId w:val="1496843609"/>
        <w:rPr>
          <w:rFonts w:ascii="Calibri" w:hAnsi="Calibri" w:cs="Calibri"/>
          <w:sz w:val="21"/>
          <w:szCs w:val="21"/>
        </w:rPr>
      </w:pPr>
      <w:r>
        <w:rPr>
          <w:rFonts w:cs="Calibri" w:hint="eastAsia"/>
          <w:sz w:val="18"/>
          <w:szCs w:val="18"/>
        </w:rPr>
        <w:t>抚顺伊科思：</w:t>
      </w:r>
    </w:p>
    <w:p w:rsidR="008D4B2E" w:rsidRDefault="008D4B2E" w:rsidP="00B2020C">
      <w:pPr>
        <w:pStyle w:val="a3"/>
        <w:spacing w:before="0" w:beforeAutospacing="0" w:after="0" w:afterAutospacing="0"/>
        <w:ind w:firstLineChars="200" w:firstLine="360"/>
        <w:divId w:val="1496843609"/>
        <w:rPr>
          <w:rFonts w:ascii="Calibri" w:hAnsi="Calibri" w:cs="Calibri"/>
          <w:sz w:val="21"/>
          <w:szCs w:val="21"/>
        </w:rPr>
      </w:pPr>
      <w:r>
        <w:rPr>
          <w:rFonts w:ascii="Calibri" w:hAnsi="Calibri" w:cs="Calibri"/>
          <w:sz w:val="18"/>
          <w:szCs w:val="18"/>
        </w:rPr>
        <w:t>2010</w:t>
      </w:r>
      <w:r>
        <w:rPr>
          <w:rFonts w:cs="Calibri" w:hint="eastAsia"/>
          <w:sz w:val="18"/>
          <w:szCs w:val="18"/>
        </w:rPr>
        <w:t>年企业委托辽宁省环境科学研究院编制《抚顺伊科思新材料有限公司</w:t>
      </w:r>
      <w:r>
        <w:rPr>
          <w:rFonts w:ascii="Calibri" w:hAnsi="Calibri" w:cs="Calibri"/>
          <w:sz w:val="18"/>
          <w:szCs w:val="18"/>
        </w:rPr>
        <w:t>15</w:t>
      </w:r>
      <w:r>
        <w:rPr>
          <w:rFonts w:cs="Calibri" w:hint="eastAsia"/>
          <w:sz w:val="18"/>
          <w:szCs w:val="18"/>
        </w:rPr>
        <w:t>万吨</w:t>
      </w:r>
      <w:r>
        <w:rPr>
          <w:rFonts w:ascii="Calibri" w:hAnsi="Calibri" w:cs="Calibri"/>
          <w:sz w:val="18"/>
          <w:szCs w:val="18"/>
        </w:rPr>
        <w:t>/</w:t>
      </w:r>
      <w:r>
        <w:rPr>
          <w:rFonts w:cs="Calibri" w:hint="eastAsia"/>
          <w:sz w:val="18"/>
          <w:szCs w:val="18"/>
        </w:rPr>
        <w:t>年裂解碳五分离联产</w:t>
      </w:r>
      <w:r>
        <w:rPr>
          <w:rFonts w:ascii="Calibri" w:hAnsi="Calibri" w:cs="Calibri"/>
          <w:sz w:val="18"/>
          <w:szCs w:val="18"/>
        </w:rPr>
        <w:t>4</w:t>
      </w:r>
      <w:r>
        <w:rPr>
          <w:rFonts w:cs="Calibri" w:hint="eastAsia"/>
          <w:sz w:val="18"/>
          <w:szCs w:val="18"/>
        </w:rPr>
        <w:t>万吨</w:t>
      </w:r>
      <w:r>
        <w:rPr>
          <w:rFonts w:ascii="Calibri" w:hAnsi="Calibri" w:cs="Calibri"/>
          <w:sz w:val="18"/>
          <w:szCs w:val="18"/>
        </w:rPr>
        <w:t>/</w:t>
      </w:r>
      <w:r>
        <w:rPr>
          <w:rFonts w:cs="Calibri" w:hint="eastAsia"/>
          <w:sz w:val="18"/>
          <w:szCs w:val="18"/>
        </w:rPr>
        <w:t>年异戊橡胶项目环境影响报告书》并取得环评批复，文号为“辽环函【</w:t>
      </w:r>
      <w:r>
        <w:rPr>
          <w:rFonts w:ascii="Calibri" w:hAnsi="Calibri" w:cs="Calibri"/>
          <w:sz w:val="18"/>
          <w:szCs w:val="18"/>
        </w:rPr>
        <w:t>2010</w:t>
      </w:r>
      <w:r>
        <w:rPr>
          <w:rFonts w:cs="Calibri" w:hint="eastAsia"/>
          <w:sz w:val="18"/>
          <w:szCs w:val="18"/>
        </w:rPr>
        <w:t>】</w:t>
      </w:r>
      <w:r>
        <w:rPr>
          <w:rFonts w:ascii="Calibri" w:hAnsi="Calibri" w:cs="Calibri"/>
          <w:sz w:val="18"/>
          <w:szCs w:val="18"/>
        </w:rPr>
        <w:t>579</w:t>
      </w:r>
      <w:r>
        <w:rPr>
          <w:rFonts w:cs="Calibri" w:hint="eastAsia"/>
          <w:sz w:val="18"/>
          <w:szCs w:val="18"/>
        </w:rPr>
        <w:t>号”；</w:t>
      </w:r>
    </w:p>
    <w:p w:rsidR="008D4B2E" w:rsidRDefault="008D4B2E" w:rsidP="00B2020C">
      <w:pPr>
        <w:pStyle w:val="a3"/>
        <w:spacing w:before="0" w:beforeAutospacing="0" w:after="0" w:afterAutospacing="0"/>
        <w:ind w:firstLineChars="200" w:firstLine="360"/>
        <w:divId w:val="1496843609"/>
        <w:rPr>
          <w:rFonts w:ascii="Calibri" w:hAnsi="Calibri" w:cs="Calibri"/>
          <w:sz w:val="21"/>
          <w:szCs w:val="21"/>
        </w:rPr>
      </w:pPr>
      <w:r>
        <w:rPr>
          <w:rFonts w:ascii="Calibri" w:hAnsi="Calibri" w:cs="Calibri"/>
          <w:sz w:val="18"/>
          <w:szCs w:val="18"/>
        </w:rPr>
        <w:t>2017</w:t>
      </w:r>
      <w:r>
        <w:rPr>
          <w:rFonts w:cs="Calibri" w:hint="eastAsia"/>
          <w:sz w:val="18"/>
          <w:szCs w:val="18"/>
        </w:rPr>
        <w:t>年企业委托辽宁唐龙技术咨询有限公司编制《抚顺伊科思新材料有限公司</w:t>
      </w:r>
      <w:r>
        <w:rPr>
          <w:rFonts w:ascii="Calibri" w:hAnsi="Calibri" w:cs="Calibri"/>
          <w:sz w:val="18"/>
          <w:szCs w:val="18"/>
        </w:rPr>
        <w:t>15</w:t>
      </w:r>
      <w:r>
        <w:rPr>
          <w:rFonts w:cs="Calibri" w:hint="eastAsia"/>
          <w:sz w:val="18"/>
          <w:szCs w:val="18"/>
        </w:rPr>
        <w:t>万吨</w:t>
      </w:r>
      <w:r>
        <w:rPr>
          <w:rFonts w:ascii="Calibri" w:hAnsi="Calibri" w:cs="Calibri"/>
          <w:sz w:val="18"/>
          <w:szCs w:val="18"/>
        </w:rPr>
        <w:t>/</w:t>
      </w:r>
      <w:r>
        <w:rPr>
          <w:rFonts w:cs="Calibri" w:hint="eastAsia"/>
          <w:sz w:val="18"/>
          <w:szCs w:val="18"/>
        </w:rPr>
        <w:t>年裂解碳五分离联产</w:t>
      </w:r>
      <w:r>
        <w:rPr>
          <w:rFonts w:ascii="Calibri" w:hAnsi="Calibri" w:cs="Calibri"/>
          <w:sz w:val="18"/>
          <w:szCs w:val="18"/>
        </w:rPr>
        <w:t>4</w:t>
      </w:r>
      <w:r>
        <w:rPr>
          <w:rFonts w:cs="Calibri" w:hint="eastAsia"/>
          <w:sz w:val="18"/>
          <w:szCs w:val="18"/>
        </w:rPr>
        <w:t>万吨</w:t>
      </w:r>
      <w:r>
        <w:rPr>
          <w:rFonts w:ascii="Calibri" w:hAnsi="Calibri" w:cs="Calibri"/>
          <w:sz w:val="18"/>
          <w:szCs w:val="18"/>
        </w:rPr>
        <w:t>/</w:t>
      </w:r>
      <w:r>
        <w:rPr>
          <w:rFonts w:cs="Calibri" w:hint="eastAsia"/>
          <w:sz w:val="18"/>
          <w:szCs w:val="18"/>
        </w:rPr>
        <w:t>年异戊橡胶项目环境影响补充说明》，并于</w:t>
      </w:r>
      <w:r>
        <w:rPr>
          <w:rFonts w:ascii="Calibri" w:hAnsi="Calibri" w:cs="Calibri"/>
          <w:sz w:val="18"/>
          <w:szCs w:val="18"/>
        </w:rPr>
        <w:t>2017</w:t>
      </w:r>
      <w:r>
        <w:rPr>
          <w:rFonts w:cs="Calibri" w:hint="eastAsia"/>
          <w:sz w:val="18"/>
          <w:szCs w:val="18"/>
        </w:rPr>
        <w:t>年委托辽宁省环境监测实验中心对以上两</w:t>
      </w:r>
      <w:proofErr w:type="gramStart"/>
      <w:r>
        <w:rPr>
          <w:rFonts w:cs="Calibri" w:hint="eastAsia"/>
          <w:sz w:val="18"/>
          <w:szCs w:val="18"/>
        </w:rPr>
        <w:t>部分环评涉及</w:t>
      </w:r>
      <w:proofErr w:type="gramEnd"/>
      <w:r>
        <w:rPr>
          <w:rFonts w:cs="Calibri" w:hint="eastAsia"/>
          <w:sz w:val="18"/>
          <w:szCs w:val="18"/>
        </w:rPr>
        <w:t>的建设项目进行环保验收，验收文号“抚环验【</w:t>
      </w:r>
      <w:r>
        <w:rPr>
          <w:rFonts w:ascii="Calibri" w:hAnsi="Calibri" w:cs="Calibri"/>
          <w:sz w:val="18"/>
          <w:szCs w:val="18"/>
        </w:rPr>
        <w:t>2017</w:t>
      </w:r>
      <w:r>
        <w:rPr>
          <w:rFonts w:cs="Calibri" w:hint="eastAsia"/>
          <w:sz w:val="18"/>
          <w:szCs w:val="18"/>
        </w:rPr>
        <w:t>】</w:t>
      </w:r>
      <w:r>
        <w:rPr>
          <w:rFonts w:ascii="Calibri" w:hAnsi="Calibri" w:cs="Calibri"/>
          <w:sz w:val="18"/>
          <w:szCs w:val="18"/>
        </w:rPr>
        <w:t>26</w:t>
      </w:r>
      <w:r>
        <w:rPr>
          <w:rFonts w:cs="Calibri" w:hint="eastAsia"/>
          <w:sz w:val="18"/>
          <w:szCs w:val="18"/>
        </w:rPr>
        <w:t>号”；</w:t>
      </w:r>
    </w:p>
    <w:p w:rsidR="008D4B2E" w:rsidRDefault="008D4B2E" w:rsidP="00B2020C">
      <w:pPr>
        <w:pStyle w:val="a3"/>
        <w:spacing w:before="0" w:beforeAutospacing="0" w:after="0" w:afterAutospacing="0"/>
        <w:ind w:firstLineChars="200" w:firstLine="360"/>
        <w:divId w:val="1496843609"/>
        <w:rPr>
          <w:rFonts w:ascii="Calibri" w:hAnsi="Calibri" w:cs="Calibri"/>
          <w:sz w:val="21"/>
          <w:szCs w:val="21"/>
        </w:rPr>
      </w:pPr>
      <w:r>
        <w:rPr>
          <w:rFonts w:ascii="Calibri" w:hAnsi="Calibri" w:cs="Calibri"/>
          <w:sz w:val="18"/>
          <w:szCs w:val="18"/>
        </w:rPr>
        <w:t>2018</w:t>
      </w:r>
      <w:r>
        <w:rPr>
          <w:rFonts w:cs="Calibri" w:hint="eastAsia"/>
          <w:sz w:val="18"/>
          <w:szCs w:val="18"/>
        </w:rPr>
        <w:t>年企业委托辽宁时代泽远科技有限公司编制《抚顺伊科思新材料有限公司异戊橡胶装置节能改造及产品结构优化项目环境影响报告环境影响报告书》并取得环评批复，批复文号“抚环审【</w:t>
      </w:r>
      <w:r>
        <w:rPr>
          <w:rFonts w:ascii="Calibri" w:hAnsi="Calibri" w:cs="Calibri"/>
          <w:sz w:val="18"/>
          <w:szCs w:val="18"/>
        </w:rPr>
        <w:t>2018</w:t>
      </w:r>
      <w:r>
        <w:rPr>
          <w:rFonts w:cs="Calibri" w:hint="eastAsia"/>
          <w:sz w:val="18"/>
          <w:szCs w:val="18"/>
        </w:rPr>
        <w:t>】</w:t>
      </w:r>
      <w:r>
        <w:rPr>
          <w:rFonts w:ascii="Calibri" w:hAnsi="Calibri" w:cs="Calibri"/>
          <w:sz w:val="18"/>
          <w:szCs w:val="18"/>
        </w:rPr>
        <w:t>29</w:t>
      </w:r>
      <w:r>
        <w:rPr>
          <w:rFonts w:cs="Calibri" w:hint="eastAsia"/>
          <w:sz w:val="18"/>
          <w:szCs w:val="18"/>
        </w:rPr>
        <w:t>号”，该项目已正常投产，验收工作正在进行；</w:t>
      </w:r>
    </w:p>
    <w:p w:rsidR="008D4B2E" w:rsidRDefault="008D4B2E" w:rsidP="00B2020C">
      <w:pPr>
        <w:pStyle w:val="a3"/>
        <w:spacing w:before="0" w:beforeAutospacing="0" w:after="0" w:afterAutospacing="0"/>
        <w:ind w:firstLineChars="200" w:firstLine="360"/>
        <w:divId w:val="1496843609"/>
        <w:rPr>
          <w:rFonts w:ascii="Calibri" w:hAnsi="Calibri" w:cs="Calibri"/>
          <w:sz w:val="21"/>
          <w:szCs w:val="21"/>
        </w:rPr>
      </w:pPr>
      <w:r>
        <w:rPr>
          <w:rFonts w:ascii="Calibri" w:hAnsi="Calibri" w:cs="Calibri"/>
          <w:sz w:val="18"/>
          <w:szCs w:val="18"/>
        </w:rPr>
        <w:t>2019</w:t>
      </w:r>
      <w:r>
        <w:rPr>
          <w:rFonts w:cs="Calibri" w:hint="eastAsia"/>
          <w:sz w:val="18"/>
          <w:szCs w:val="18"/>
        </w:rPr>
        <w:t>年企业委托铁岭市天</w:t>
      </w:r>
      <w:proofErr w:type="gramStart"/>
      <w:r>
        <w:rPr>
          <w:rFonts w:cs="Calibri" w:hint="eastAsia"/>
          <w:sz w:val="18"/>
          <w:szCs w:val="18"/>
        </w:rPr>
        <w:t>祥</w:t>
      </w:r>
      <w:proofErr w:type="gramEnd"/>
      <w:r>
        <w:rPr>
          <w:rFonts w:cs="Calibri" w:hint="eastAsia"/>
          <w:sz w:val="18"/>
          <w:szCs w:val="18"/>
        </w:rPr>
        <w:t>环境科技有限公司编制《抚顺伊科思新材料有限公司碳五分离装置产品结构优化生产环戊烷</w:t>
      </w:r>
      <w:r>
        <w:rPr>
          <w:rFonts w:ascii="Calibri" w:hAnsi="Calibri" w:cs="Calibri"/>
          <w:sz w:val="18"/>
          <w:szCs w:val="18"/>
        </w:rPr>
        <w:t>/</w:t>
      </w:r>
      <w:r>
        <w:rPr>
          <w:rFonts w:cs="Calibri" w:hint="eastAsia"/>
          <w:sz w:val="18"/>
          <w:szCs w:val="18"/>
        </w:rPr>
        <w:t>异戊烷项目环境影响报告》并取得环评批复，批复文号“抚环审【</w:t>
      </w:r>
      <w:r>
        <w:rPr>
          <w:rFonts w:ascii="Calibri" w:hAnsi="Calibri" w:cs="Calibri"/>
          <w:sz w:val="18"/>
          <w:szCs w:val="18"/>
        </w:rPr>
        <w:t>2019</w:t>
      </w:r>
      <w:r>
        <w:rPr>
          <w:rFonts w:cs="Calibri" w:hint="eastAsia"/>
          <w:sz w:val="18"/>
          <w:szCs w:val="18"/>
        </w:rPr>
        <w:t>】</w:t>
      </w:r>
      <w:r>
        <w:rPr>
          <w:rFonts w:ascii="Calibri" w:hAnsi="Calibri" w:cs="Calibri"/>
          <w:sz w:val="18"/>
          <w:szCs w:val="18"/>
        </w:rPr>
        <w:t>57</w:t>
      </w:r>
      <w:r>
        <w:rPr>
          <w:rFonts w:cs="Calibri" w:hint="eastAsia"/>
          <w:sz w:val="18"/>
          <w:szCs w:val="18"/>
        </w:rPr>
        <w:t>号”，该项目未投产；</w:t>
      </w:r>
    </w:p>
    <w:p w:rsidR="008D4B2E" w:rsidRDefault="008D4B2E" w:rsidP="00B2020C">
      <w:pPr>
        <w:pStyle w:val="a3"/>
        <w:spacing w:before="0" w:beforeAutospacing="0" w:after="0" w:afterAutospacing="0"/>
        <w:ind w:firstLineChars="200" w:firstLine="360"/>
        <w:divId w:val="1496843609"/>
        <w:rPr>
          <w:rFonts w:ascii="Calibri" w:hAnsi="Calibri" w:cs="Calibri"/>
          <w:sz w:val="21"/>
          <w:szCs w:val="21"/>
        </w:rPr>
      </w:pPr>
      <w:r>
        <w:rPr>
          <w:rFonts w:ascii="Calibri" w:hAnsi="Calibri" w:cs="Calibri"/>
          <w:sz w:val="18"/>
          <w:szCs w:val="18"/>
        </w:rPr>
        <w:t>2023</w:t>
      </w:r>
      <w:r>
        <w:rPr>
          <w:rFonts w:cs="Calibri" w:hint="eastAsia"/>
          <w:sz w:val="18"/>
          <w:szCs w:val="18"/>
        </w:rPr>
        <w:t>年</w:t>
      </w:r>
      <w:r>
        <w:rPr>
          <w:rFonts w:ascii="Calibri" w:hAnsi="Calibri" w:cs="Calibri"/>
          <w:sz w:val="18"/>
          <w:szCs w:val="18"/>
        </w:rPr>
        <w:t>11</w:t>
      </w:r>
      <w:r>
        <w:rPr>
          <w:rFonts w:cs="Calibri" w:hint="eastAsia"/>
          <w:sz w:val="18"/>
          <w:szCs w:val="18"/>
        </w:rPr>
        <w:t>月份对排污许可证提出变更申请，</w:t>
      </w:r>
      <w:r>
        <w:rPr>
          <w:rFonts w:ascii="Calibri" w:hAnsi="Calibri" w:cs="Calibri"/>
          <w:sz w:val="18"/>
          <w:szCs w:val="18"/>
        </w:rPr>
        <w:t>2024</w:t>
      </w:r>
      <w:r>
        <w:rPr>
          <w:rFonts w:cs="Calibri" w:hint="eastAsia"/>
          <w:sz w:val="18"/>
          <w:szCs w:val="18"/>
        </w:rPr>
        <w:t>年</w:t>
      </w:r>
      <w:r>
        <w:rPr>
          <w:rFonts w:ascii="Calibri" w:hAnsi="Calibri" w:cs="Calibri"/>
          <w:sz w:val="18"/>
          <w:szCs w:val="18"/>
        </w:rPr>
        <w:t>1</w:t>
      </w:r>
      <w:r>
        <w:rPr>
          <w:rFonts w:cs="Calibri" w:hint="eastAsia"/>
          <w:sz w:val="18"/>
          <w:szCs w:val="18"/>
        </w:rPr>
        <w:t>月</w:t>
      </w:r>
      <w:r>
        <w:rPr>
          <w:rFonts w:ascii="Calibri" w:hAnsi="Calibri" w:cs="Calibri"/>
          <w:sz w:val="18"/>
          <w:szCs w:val="18"/>
        </w:rPr>
        <w:t>6</w:t>
      </w:r>
      <w:r>
        <w:rPr>
          <w:rFonts w:cs="Calibri" w:hint="eastAsia"/>
          <w:sz w:val="18"/>
          <w:szCs w:val="18"/>
        </w:rPr>
        <w:t>日取证，有限期</w:t>
      </w:r>
      <w:r>
        <w:rPr>
          <w:rFonts w:ascii="Calibri" w:hAnsi="Calibri" w:cs="Calibri"/>
          <w:sz w:val="18"/>
          <w:szCs w:val="18"/>
        </w:rPr>
        <w:t>2024.01.06</w:t>
      </w:r>
      <w:r>
        <w:rPr>
          <w:rFonts w:cs="Calibri" w:hint="eastAsia"/>
          <w:sz w:val="18"/>
          <w:szCs w:val="18"/>
        </w:rPr>
        <w:t>至</w:t>
      </w:r>
      <w:r>
        <w:rPr>
          <w:rFonts w:ascii="Calibri" w:hAnsi="Calibri" w:cs="Calibri"/>
          <w:sz w:val="18"/>
          <w:szCs w:val="18"/>
        </w:rPr>
        <w:t>2029.01.05</w:t>
      </w:r>
      <w:r>
        <w:rPr>
          <w:rFonts w:ascii="Calibri" w:hAnsi="Calibri" w:cs="Calibri"/>
          <w:sz w:val="18"/>
          <w:szCs w:val="18"/>
        </w:rPr>
        <w:t>。</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行业排放标准及生产经营活动中涉及的污染物排放的具体情况</w:t>
      </w:r>
    </w:p>
    <w:tbl>
      <w:tblPr>
        <w:tblW w:w="9639" w:type="dxa"/>
        <w:tblLayout w:type="fixed"/>
        <w:tblLook w:val="04A0" w:firstRow="1" w:lastRow="0" w:firstColumn="1" w:lastColumn="0" w:noHBand="0" w:noVBand="1"/>
      </w:tblPr>
      <w:tblGrid>
        <w:gridCol w:w="877"/>
        <w:gridCol w:w="877"/>
        <w:gridCol w:w="877"/>
        <w:gridCol w:w="876"/>
        <w:gridCol w:w="876"/>
        <w:gridCol w:w="876"/>
        <w:gridCol w:w="876"/>
        <w:gridCol w:w="1203"/>
        <w:gridCol w:w="708"/>
        <w:gridCol w:w="851"/>
        <w:gridCol w:w="742"/>
      </w:tblGrid>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公司或子公司名称</w:t>
            </w:r>
          </w:p>
        </w:tc>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主要污染物及特征污染物的种类</w:t>
            </w:r>
          </w:p>
        </w:tc>
        <w:tc>
          <w:tcPr>
            <w:tcW w:w="8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主要污染物及特征污染物的名称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排放方式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排放口数量</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排放口分布情况</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排放浓度/强度</w:t>
            </w:r>
          </w:p>
        </w:tc>
        <w:tc>
          <w:tcPr>
            <w:tcW w:w="120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执行的污染物排放标准</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排放总量</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核定的排放总量</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超标排放情况</w:t>
            </w:r>
          </w:p>
        </w:tc>
      </w:tr>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大气环境</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VOCs有机废气</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有组织</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1个</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软控产业</w:t>
            </w:r>
            <w:proofErr w:type="gramEnd"/>
            <w:r>
              <w:rPr>
                <w:rFonts w:ascii="宋体" w:eastAsia="宋体" w:hAnsi="宋体" w:cs="宋体"/>
                <w:sz w:val="18"/>
                <w:szCs w:val="18"/>
              </w:rPr>
              <w:t>园东园区</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4.88mg/m3</w:t>
            </w:r>
          </w:p>
        </w:tc>
        <w:tc>
          <w:tcPr>
            <w:tcW w:w="12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70mg/m3</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4900万立方米</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废水</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化学需氧量</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污水处理厂</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总排口</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100mg/L</w:t>
            </w:r>
          </w:p>
        </w:tc>
        <w:tc>
          <w:tcPr>
            <w:tcW w:w="12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《辽宁省污水综合排放标准》（DB21/1627-2008）300mg/L</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0.071吨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废水</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氨氮</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污水处理厂</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总排口</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8mg/L</w:t>
            </w:r>
          </w:p>
        </w:tc>
        <w:tc>
          <w:tcPr>
            <w:tcW w:w="12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《辽宁省污水综合排放标准》（DB21/1627-2008）30mg/L</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0.039吨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废气</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非甲烷总烃</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经过RCO处理设施后，达标排放。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后处理废气排放口</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50mg/m³</w:t>
            </w:r>
          </w:p>
        </w:tc>
        <w:tc>
          <w:tcPr>
            <w:tcW w:w="12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《石油化学工业污染物排放标准》（GB31571-2015）处理率97%</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11吨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rsidTr="006C5451">
        <w:trPr>
          <w:trHeight w:val="240"/>
        </w:trPr>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废气</w:t>
            </w:r>
          </w:p>
        </w:tc>
        <w:tc>
          <w:tcPr>
            <w:tcW w:w="8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非甲烷总烃</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经过碱洗塔、活性炭吸附处理后排放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污水加盖废气排放口</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120mg/m³</w:t>
            </w:r>
          </w:p>
        </w:tc>
        <w:tc>
          <w:tcPr>
            <w:tcW w:w="120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《石油化学工业污染物排放标准》（GB31571-2015）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0.14吨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对污染物的处理</w:t>
      </w:r>
    </w:p>
    <w:p w:rsidR="00C067EE" w:rsidRDefault="008D4B2E" w:rsidP="00C067EE">
      <w:pPr>
        <w:pStyle w:val="a3"/>
        <w:divId w:val="1113130469"/>
        <w:rPr>
          <w:sz w:val="18"/>
          <w:szCs w:val="18"/>
        </w:rPr>
      </w:pPr>
      <w:proofErr w:type="gramStart"/>
      <w:r>
        <w:rPr>
          <w:rFonts w:hint="eastAsia"/>
          <w:sz w:val="18"/>
          <w:szCs w:val="18"/>
        </w:rPr>
        <w:lastRenderedPageBreak/>
        <w:t>软控机电</w:t>
      </w:r>
      <w:proofErr w:type="gramEnd"/>
      <w:r>
        <w:rPr>
          <w:rFonts w:hint="eastAsia"/>
          <w:sz w:val="18"/>
          <w:szCs w:val="18"/>
        </w:rPr>
        <w:t>：</w:t>
      </w:r>
    </w:p>
    <w:p w:rsidR="008D4B2E" w:rsidRPr="006C5451" w:rsidRDefault="008D4B2E" w:rsidP="006C5451">
      <w:pPr>
        <w:pStyle w:val="a3"/>
        <w:ind w:firstLineChars="200" w:firstLine="360"/>
        <w:divId w:val="1113130469"/>
        <w:rPr>
          <w:sz w:val="18"/>
          <w:szCs w:val="18"/>
        </w:rPr>
      </w:pPr>
      <w:r>
        <w:rPr>
          <w:rFonts w:cs="Calibri" w:hint="eastAsia"/>
          <w:sz w:val="18"/>
          <w:szCs w:val="18"/>
        </w:rPr>
        <w:t>喷漆线作业产生的有机废气采用活性炭吸附</w:t>
      </w:r>
      <w:r>
        <w:rPr>
          <w:rFonts w:ascii="Calibri" w:hAnsi="Calibri" w:cs="Calibri"/>
          <w:sz w:val="18"/>
          <w:szCs w:val="18"/>
        </w:rPr>
        <w:t>+</w:t>
      </w:r>
      <w:r>
        <w:rPr>
          <w:rFonts w:cs="Calibri" w:hint="eastAsia"/>
          <w:sz w:val="18"/>
          <w:szCs w:val="18"/>
        </w:rPr>
        <w:t>催化燃烧的方式进行处理，</w:t>
      </w:r>
      <w:r>
        <w:rPr>
          <w:rFonts w:ascii="Calibri" w:hAnsi="Calibri" w:cs="Calibri"/>
          <w:sz w:val="18"/>
          <w:szCs w:val="18"/>
        </w:rPr>
        <w:t>VOCs</w:t>
      </w:r>
      <w:r>
        <w:rPr>
          <w:rFonts w:cs="Calibri" w:hint="eastAsia"/>
          <w:sz w:val="18"/>
          <w:szCs w:val="18"/>
        </w:rPr>
        <w:t>废气处理设备可实现减少甲苯、二甲苯有机废气的排放，有组织排放有机废气排放达标。</w:t>
      </w:r>
    </w:p>
    <w:p w:rsidR="00C067EE" w:rsidRDefault="008D4B2E">
      <w:pPr>
        <w:pStyle w:val="a3"/>
        <w:spacing w:before="0" w:beforeAutospacing="0" w:after="0" w:afterAutospacing="0"/>
        <w:divId w:val="1113130469"/>
        <w:rPr>
          <w:rFonts w:ascii="Calibri" w:hAnsi="Calibri" w:cs="Calibri"/>
          <w:sz w:val="21"/>
          <w:szCs w:val="21"/>
        </w:rPr>
      </w:pPr>
      <w:r>
        <w:rPr>
          <w:rFonts w:cs="Calibri" w:hint="eastAsia"/>
          <w:sz w:val="18"/>
          <w:szCs w:val="18"/>
        </w:rPr>
        <w:t>抚顺伊科思：</w:t>
      </w:r>
    </w:p>
    <w:p w:rsidR="008D4B2E" w:rsidRDefault="008D4B2E" w:rsidP="00C067EE">
      <w:pPr>
        <w:pStyle w:val="a3"/>
        <w:spacing w:before="0" w:beforeAutospacing="0" w:after="0" w:afterAutospacing="0"/>
        <w:ind w:firstLineChars="200" w:firstLine="360"/>
        <w:divId w:val="1113130469"/>
        <w:rPr>
          <w:rFonts w:ascii="Calibri" w:hAnsi="Calibri" w:cs="Calibri"/>
          <w:sz w:val="21"/>
          <w:szCs w:val="21"/>
        </w:rPr>
      </w:pPr>
      <w:r>
        <w:rPr>
          <w:rFonts w:cs="Calibri" w:hint="eastAsia"/>
          <w:sz w:val="18"/>
          <w:szCs w:val="18"/>
        </w:rPr>
        <w:t>设置污水与处理单元，处理单元全部封闭进行废气收集及集中处理，安装一套尾气回收系统，碱洗塔</w:t>
      </w:r>
      <w:r>
        <w:rPr>
          <w:rFonts w:ascii="Calibri" w:hAnsi="Calibri" w:cs="Calibri"/>
          <w:sz w:val="18"/>
          <w:szCs w:val="18"/>
        </w:rPr>
        <w:t>+</w:t>
      </w:r>
      <w:r>
        <w:rPr>
          <w:rFonts w:cs="Calibri" w:hint="eastAsia"/>
          <w:sz w:val="18"/>
          <w:szCs w:val="18"/>
        </w:rPr>
        <w:t>活性炭吸附设施。在污水总排口安装在线监测设备，每两小时做样一次，装置区安装冷凝回收装置，均平稳运行。后处理有组织废气通过</w:t>
      </w:r>
      <w:r>
        <w:rPr>
          <w:rFonts w:ascii="Calibri" w:hAnsi="Calibri" w:cs="Calibri"/>
          <w:sz w:val="18"/>
          <w:szCs w:val="18"/>
        </w:rPr>
        <w:t>RCO</w:t>
      </w:r>
      <w:r>
        <w:rPr>
          <w:rFonts w:cs="Calibri" w:hint="eastAsia"/>
          <w:sz w:val="18"/>
          <w:szCs w:val="18"/>
        </w:rPr>
        <w:t>处理设施后达标排放，现已经通过环保验收，处理效率</w:t>
      </w:r>
      <w:r>
        <w:rPr>
          <w:rFonts w:ascii="Calibri" w:hAnsi="Calibri" w:cs="Calibri"/>
          <w:sz w:val="18"/>
          <w:szCs w:val="18"/>
        </w:rPr>
        <w:t>97%.</w:t>
      </w:r>
      <w:r>
        <w:rPr>
          <w:rFonts w:cs="Calibri" w:hint="eastAsia"/>
          <w:sz w:val="18"/>
          <w:szCs w:val="18"/>
        </w:rPr>
        <w:t>非甲烷总烃减排大约</w:t>
      </w:r>
      <w:r>
        <w:rPr>
          <w:rFonts w:ascii="Calibri" w:hAnsi="Calibri" w:cs="Calibri"/>
          <w:sz w:val="18"/>
          <w:szCs w:val="18"/>
        </w:rPr>
        <w:t>15</w:t>
      </w:r>
      <w:r>
        <w:rPr>
          <w:rFonts w:cs="Calibri" w:hint="eastAsia"/>
          <w:sz w:val="18"/>
          <w:szCs w:val="18"/>
        </w:rPr>
        <w:t>吨左右。</w:t>
      </w:r>
      <w:r>
        <w:rPr>
          <w:rFonts w:ascii="Calibri" w:hAnsi="Calibri" w:cs="Calibri"/>
          <w:sz w:val="18"/>
          <w:szCs w:val="18"/>
        </w:rPr>
        <w:t>2023</w:t>
      </w:r>
      <w:r>
        <w:rPr>
          <w:rFonts w:cs="Calibri" w:hint="eastAsia"/>
          <w:sz w:val="18"/>
          <w:szCs w:val="18"/>
        </w:rPr>
        <w:t>年</w:t>
      </w:r>
      <w:r>
        <w:rPr>
          <w:rFonts w:ascii="Calibri" w:hAnsi="Calibri" w:cs="Calibri"/>
          <w:sz w:val="18"/>
          <w:szCs w:val="18"/>
        </w:rPr>
        <w:t>11</w:t>
      </w:r>
      <w:r>
        <w:rPr>
          <w:rFonts w:cs="Calibri" w:hint="eastAsia"/>
          <w:sz w:val="18"/>
          <w:szCs w:val="18"/>
        </w:rPr>
        <w:t>月在污水预处理单元废气收集中增加一个除湿设备，提高废气中水含量，减轻后端活性炭使用活性，</w:t>
      </w:r>
      <w:r>
        <w:rPr>
          <w:rFonts w:ascii="Calibri" w:hAnsi="Calibri" w:cs="Calibri"/>
          <w:sz w:val="18"/>
          <w:szCs w:val="18"/>
        </w:rPr>
        <w:t>2023</w:t>
      </w:r>
      <w:r>
        <w:rPr>
          <w:rFonts w:cs="Calibri" w:hint="eastAsia"/>
          <w:sz w:val="18"/>
          <w:szCs w:val="18"/>
        </w:rPr>
        <w:t>年</w:t>
      </w:r>
      <w:r>
        <w:rPr>
          <w:rFonts w:ascii="Calibri" w:hAnsi="Calibri" w:cs="Calibri"/>
          <w:sz w:val="18"/>
          <w:szCs w:val="18"/>
        </w:rPr>
        <w:t>12</w:t>
      </w:r>
      <w:r>
        <w:rPr>
          <w:rFonts w:cs="Calibri" w:hint="eastAsia"/>
          <w:sz w:val="18"/>
          <w:szCs w:val="18"/>
        </w:rPr>
        <w:t>月对</w:t>
      </w:r>
      <w:r>
        <w:rPr>
          <w:rFonts w:ascii="Calibri" w:hAnsi="Calibri" w:cs="Calibri"/>
          <w:sz w:val="18"/>
          <w:szCs w:val="18"/>
        </w:rPr>
        <w:t>804</w:t>
      </w:r>
      <w:r>
        <w:rPr>
          <w:rFonts w:cs="Calibri" w:hint="eastAsia"/>
          <w:sz w:val="18"/>
          <w:szCs w:val="18"/>
        </w:rPr>
        <w:t>常压罐区的储罐进行废气收集改造，实现了储罐统一收集，集中排放至油气回收系统，减少废气排放，达标排放。</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突发环境事件应急预案</w:t>
      </w:r>
    </w:p>
    <w:p w:rsidR="008D4B2E" w:rsidRDefault="008D4B2E">
      <w:pPr>
        <w:pStyle w:val="a3"/>
        <w:divId w:val="917440714"/>
        <w:rPr>
          <w:sz w:val="18"/>
          <w:szCs w:val="18"/>
        </w:rPr>
      </w:pPr>
      <w:proofErr w:type="gramStart"/>
      <w:r>
        <w:rPr>
          <w:rFonts w:hint="eastAsia"/>
          <w:sz w:val="18"/>
          <w:szCs w:val="18"/>
        </w:rPr>
        <w:t>软控机电</w:t>
      </w:r>
      <w:proofErr w:type="gramEnd"/>
      <w:r>
        <w:rPr>
          <w:rFonts w:hint="eastAsia"/>
          <w:sz w:val="18"/>
          <w:szCs w:val="18"/>
        </w:rPr>
        <w:t>：</w:t>
      </w:r>
    </w:p>
    <w:p w:rsidR="008D4B2E" w:rsidRDefault="008D4B2E" w:rsidP="00C067EE">
      <w:pPr>
        <w:pStyle w:val="a3"/>
        <w:spacing w:before="0" w:beforeAutospacing="0" w:after="0" w:afterAutospacing="0"/>
        <w:ind w:firstLineChars="200" w:firstLine="360"/>
        <w:divId w:val="917440714"/>
        <w:rPr>
          <w:rFonts w:ascii="Calibri" w:hAnsi="Calibri" w:cs="Calibri"/>
          <w:sz w:val="21"/>
          <w:szCs w:val="21"/>
        </w:rPr>
      </w:pPr>
      <w:proofErr w:type="gramStart"/>
      <w:r>
        <w:rPr>
          <w:rFonts w:cs="Calibri" w:hint="eastAsia"/>
          <w:sz w:val="18"/>
          <w:szCs w:val="18"/>
        </w:rPr>
        <w:t>青岛软控机电工程</w:t>
      </w:r>
      <w:proofErr w:type="gramEnd"/>
      <w:r>
        <w:rPr>
          <w:rFonts w:cs="Calibri" w:hint="eastAsia"/>
          <w:sz w:val="18"/>
          <w:szCs w:val="18"/>
        </w:rPr>
        <w:t>有限公司《突发环境事件应急预案》已报备青岛市生态环境局胶州分局，对现有污染防治措施安全评估，并严格按照预案内容定期演练。</w:t>
      </w:r>
      <w:r>
        <w:rPr>
          <w:rFonts w:ascii="Calibri" w:hAnsi="Calibri" w:cs="Calibri"/>
          <w:sz w:val="18"/>
          <w:szCs w:val="18"/>
        </w:rPr>
        <w:t xml:space="preserve"> </w:t>
      </w:r>
    </w:p>
    <w:p w:rsidR="008D4B2E" w:rsidRDefault="008D4B2E">
      <w:pPr>
        <w:pStyle w:val="a3"/>
        <w:spacing w:before="0" w:beforeAutospacing="0" w:after="0" w:afterAutospacing="0"/>
        <w:divId w:val="917440714"/>
        <w:rPr>
          <w:rFonts w:ascii="Calibri" w:hAnsi="Calibri" w:cs="Calibri"/>
          <w:sz w:val="21"/>
          <w:szCs w:val="21"/>
        </w:rPr>
      </w:pPr>
      <w:r>
        <w:rPr>
          <w:rFonts w:ascii="Calibri" w:hAnsi="Calibri" w:cs="Calibri"/>
          <w:sz w:val="21"/>
          <w:szCs w:val="21"/>
        </w:rPr>
        <w:t> </w:t>
      </w:r>
    </w:p>
    <w:p w:rsidR="008D4B2E" w:rsidRDefault="008D4B2E">
      <w:pPr>
        <w:pStyle w:val="a3"/>
        <w:spacing w:before="0" w:beforeAutospacing="0" w:after="0" w:afterAutospacing="0"/>
        <w:divId w:val="917440714"/>
        <w:rPr>
          <w:rFonts w:ascii="Calibri" w:hAnsi="Calibri" w:cs="Calibri"/>
          <w:sz w:val="21"/>
          <w:szCs w:val="21"/>
        </w:rPr>
      </w:pPr>
      <w:r>
        <w:rPr>
          <w:rFonts w:cs="Calibri" w:hint="eastAsia"/>
          <w:sz w:val="18"/>
          <w:szCs w:val="18"/>
        </w:rPr>
        <w:t>抚顺伊科思：</w:t>
      </w:r>
    </w:p>
    <w:p w:rsidR="008D4B2E" w:rsidRDefault="008D4B2E" w:rsidP="00C067EE">
      <w:pPr>
        <w:pStyle w:val="a3"/>
        <w:spacing w:before="0" w:beforeAutospacing="0" w:after="0" w:afterAutospacing="0"/>
        <w:ind w:firstLineChars="200" w:firstLine="360"/>
        <w:divId w:val="917440714"/>
        <w:rPr>
          <w:rFonts w:ascii="Calibri" w:hAnsi="Calibri" w:cs="Calibri"/>
          <w:sz w:val="21"/>
          <w:szCs w:val="21"/>
        </w:rPr>
      </w:pPr>
      <w:r>
        <w:rPr>
          <w:rFonts w:cs="Calibri" w:hint="eastAsia"/>
          <w:sz w:val="18"/>
          <w:szCs w:val="18"/>
        </w:rPr>
        <w:t>抚顺伊科思已编制《抚顺伊科思新材料有限公司突发环境事件应急预案》并在抚顺市环境保护局备案。</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环境自行监测方案</w:t>
      </w:r>
    </w:p>
    <w:p w:rsidR="008D4B2E" w:rsidRDefault="008D4B2E">
      <w:pPr>
        <w:pStyle w:val="a3"/>
        <w:spacing w:before="0" w:beforeAutospacing="0" w:after="0" w:afterAutospacing="0"/>
        <w:divId w:val="691952782"/>
        <w:rPr>
          <w:rFonts w:ascii="Calibri" w:hAnsi="Calibri" w:cs="Calibri"/>
          <w:sz w:val="21"/>
          <w:szCs w:val="21"/>
        </w:rPr>
      </w:pPr>
      <w:proofErr w:type="gramStart"/>
      <w:r>
        <w:rPr>
          <w:rFonts w:cs="Calibri" w:hint="eastAsia"/>
          <w:sz w:val="18"/>
          <w:szCs w:val="18"/>
        </w:rPr>
        <w:t>软控机电</w:t>
      </w:r>
      <w:proofErr w:type="gramEnd"/>
      <w:r>
        <w:rPr>
          <w:rFonts w:cs="Calibri" w:hint="eastAsia"/>
          <w:sz w:val="18"/>
          <w:szCs w:val="18"/>
        </w:rPr>
        <w:t>：</w:t>
      </w:r>
    </w:p>
    <w:p w:rsidR="008D4B2E" w:rsidRDefault="008D4B2E" w:rsidP="00C067EE">
      <w:pPr>
        <w:pStyle w:val="a3"/>
        <w:spacing w:before="0" w:beforeAutospacing="0" w:after="0" w:afterAutospacing="0"/>
        <w:ind w:firstLineChars="200" w:firstLine="360"/>
        <w:divId w:val="691952782"/>
        <w:rPr>
          <w:rFonts w:ascii="Calibri" w:hAnsi="Calibri" w:cs="Calibri"/>
          <w:sz w:val="21"/>
          <w:szCs w:val="21"/>
        </w:rPr>
      </w:pPr>
      <w:proofErr w:type="gramStart"/>
      <w:r>
        <w:rPr>
          <w:rFonts w:cs="Calibri" w:hint="eastAsia"/>
          <w:sz w:val="18"/>
          <w:szCs w:val="18"/>
        </w:rPr>
        <w:t>青岛软控机电工程</w:t>
      </w:r>
      <w:proofErr w:type="gramEnd"/>
      <w:r>
        <w:rPr>
          <w:rFonts w:cs="Calibri" w:hint="eastAsia"/>
          <w:sz w:val="18"/>
          <w:szCs w:val="18"/>
        </w:rPr>
        <w:t>有限公司规范按照排污许可证执行报告规定进行季度、年报，上</w:t>
      </w:r>
      <w:proofErr w:type="gramStart"/>
      <w:r>
        <w:rPr>
          <w:rFonts w:cs="Calibri" w:hint="eastAsia"/>
          <w:sz w:val="18"/>
          <w:szCs w:val="18"/>
        </w:rPr>
        <w:t>传全国</w:t>
      </w:r>
      <w:proofErr w:type="gramEnd"/>
      <w:r>
        <w:rPr>
          <w:rFonts w:cs="Calibri" w:hint="eastAsia"/>
          <w:sz w:val="18"/>
          <w:szCs w:val="18"/>
        </w:rPr>
        <w:t>排污许可证管理信息平台。</w:t>
      </w:r>
    </w:p>
    <w:p w:rsidR="008D4B2E" w:rsidRDefault="008D4B2E">
      <w:pPr>
        <w:pStyle w:val="a3"/>
        <w:spacing w:before="0" w:beforeAutospacing="0" w:after="0" w:afterAutospacing="0"/>
        <w:divId w:val="691952782"/>
        <w:rPr>
          <w:rFonts w:ascii="Calibri" w:hAnsi="Calibri" w:cs="Calibri"/>
          <w:sz w:val="21"/>
          <w:szCs w:val="21"/>
        </w:rPr>
      </w:pPr>
      <w:r>
        <w:rPr>
          <w:rFonts w:ascii="Calibri" w:hAnsi="Calibri" w:cs="Calibri"/>
          <w:sz w:val="18"/>
          <w:szCs w:val="18"/>
        </w:rPr>
        <w:t>2023</w:t>
      </w:r>
      <w:r>
        <w:rPr>
          <w:rFonts w:cs="Calibri" w:hint="eastAsia"/>
          <w:sz w:val="18"/>
          <w:szCs w:val="18"/>
        </w:rPr>
        <w:t>年</w:t>
      </w:r>
      <w:r>
        <w:rPr>
          <w:rFonts w:ascii="Calibri" w:hAnsi="Calibri" w:cs="Calibri"/>
          <w:sz w:val="18"/>
          <w:szCs w:val="18"/>
        </w:rPr>
        <w:t>6</w:t>
      </w:r>
      <w:r>
        <w:rPr>
          <w:rFonts w:cs="Calibri" w:hint="eastAsia"/>
          <w:sz w:val="18"/>
          <w:szCs w:val="18"/>
        </w:rPr>
        <w:t>月，公司委托青岛顺昌检测评价有限公司进行环境检测，严格按照排污许可证规定项目执行检测频次，各项检测结果均达标。</w:t>
      </w:r>
    </w:p>
    <w:p w:rsidR="008D4B2E" w:rsidRDefault="008D4B2E">
      <w:pPr>
        <w:pStyle w:val="a3"/>
        <w:spacing w:before="0" w:beforeAutospacing="0" w:after="0" w:afterAutospacing="0"/>
        <w:divId w:val="691952782"/>
        <w:rPr>
          <w:rFonts w:ascii="Calibri" w:hAnsi="Calibri" w:cs="Calibri"/>
          <w:sz w:val="21"/>
          <w:szCs w:val="21"/>
        </w:rPr>
      </w:pPr>
      <w:r>
        <w:rPr>
          <w:rFonts w:ascii="Calibri" w:hAnsi="Calibri" w:cs="Calibri"/>
          <w:sz w:val="21"/>
          <w:szCs w:val="21"/>
        </w:rPr>
        <w:t> </w:t>
      </w:r>
    </w:p>
    <w:p w:rsidR="008D4B2E" w:rsidRDefault="008D4B2E">
      <w:pPr>
        <w:pStyle w:val="a3"/>
        <w:spacing w:before="0" w:beforeAutospacing="0" w:after="0" w:afterAutospacing="0"/>
        <w:divId w:val="691952782"/>
        <w:rPr>
          <w:rFonts w:ascii="Calibri" w:hAnsi="Calibri" w:cs="Calibri"/>
          <w:sz w:val="21"/>
          <w:szCs w:val="21"/>
        </w:rPr>
      </w:pPr>
      <w:r>
        <w:rPr>
          <w:rFonts w:cs="Calibri" w:hint="eastAsia"/>
          <w:sz w:val="18"/>
          <w:szCs w:val="18"/>
        </w:rPr>
        <w:t>抚顺伊科思：</w:t>
      </w:r>
    </w:p>
    <w:p w:rsidR="008D4B2E" w:rsidRDefault="008D4B2E" w:rsidP="00C067EE">
      <w:pPr>
        <w:pStyle w:val="a3"/>
        <w:spacing w:before="0" w:beforeAutospacing="0" w:after="0" w:afterAutospacing="0"/>
        <w:ind w:firstLineChars="200" w:firstLine="360"/>
        <w:divId w:val="691952782"/>
        <w:rPr>
          <w:rFonts w:ascii="Calibri" w:hAnsi="Calibri" w:cs="Calibri"/>
          <w:sz w:val="21"/>
          <w:szCs w:val="21"/>
        </w:rPr>
      </w:pPr>
      <w:r>
        <w:rPr>
          <w:rFonts w:cs="Calibri" w:hint="eastAsia"/>
          <w:sz w:val="18"/>
          <w:szCs w:val="18"/>
        </w:rPr>
        <w:t>抚顺伊科思已委托辽宁鑫铭环保科技有限公司进行环境检测，检测项目包括：废水、废气、噪声等，检测结果均达标。污水总排口安装在线监测设施并上传至辽宁省环境监测站监控平台。按照规范要求定期进行</w:t>
      </w:r>
      <w:r>
        <w:rPr>
          <w:rFonts w:ascii="Calibri" w:hAnsi="Calibri" w:cs="Calibri"/>
          <w:sz w:val="18"/>
          <w:szCs w:val="18"/>
        </w:rPr>
        <w:t>LDAR</w:t>
      </w:r>
      <w:r>
        <w:rPr>
          <w:rFonts w:cs="Calibri" w:hint="eastAsia"/>
          <w:sz w:val="18"/>
          <w:szCs w:val="18"/>
        </w:rPr>
        <w:t xml:space="preserve">检测。后处理有组织废气已安装在线监测设备，现已经联网，在线设备已经通过验收。 </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环境治理和保护的投入及缴纳环境保护税的相关情况</w:t>
      </w:r>
    </w:p>
    <w:p w:rsidR="008D4B2E" w:rsidRDefault="008D4B2E">
      <w:pPr>
        <w:pStyle w:val="a3"/>
        <w:divId w:val="1481113752"/>
        <w:rPr>
          <w:sz w:val="18"/>
          <w:szCs w:val="18"/>
        </w:rPr>
      </w:pPr>
      <w:proofErr w:type="gramStart"/>
      <w:r>
        <w:rPr>
          <w:rFonts w:hint="eastAsia"/>
          <w:sz w:val="18"/>
          <w:szCs w:val="18"/>
        </w:rPr>
        <w:t>软控机电</w:t>
      </w:r>
      <w:proofErr w:type="gramEnd"/>
      <w:r>
        <w:rPr>
          <w:rFonts w:hint="eastAsia"/>
          <w:sz w:val="18"/>
          <w:szCs w:val="18"/>
        </w:rPr>
        <w:t>：</w:t>
      </w:r>
    </w:p>
    <w:p w:rsidR="008D4B2E" w:rsidRDefault="008D4B2E" w:rsidP="00C067EE">
      <w:pPr>
        <w:pStyle w:val="a3"/>
        <w:spacing w:before="0" w:beforeAutospacing="0" w:after="0" w:afterAutospacing="0"/>
        <w:ind w:firstLineChars="200" w:firstLine="360"/>
        <w:divId w:val="1481113752"/>
        <w:rPr>
          <w:rFonts w:ascii="Calibri" w:hAnsi="Calibri" w:cs="Calibri"/>
          <w:sz w:val="21"/>
          <w:szCs w:val="21"/>
        </w:rPr>
      </w:pPr>
      <w:r>
        <w:rPr>
          <w:rFonts w:ascii="Calibri" w:hAnsi="Calibri" w:cs="Calibri"/>
          <w:sz w:val="18"/>
          <w:szCs w:val="18"/>
        </w:rPr>
        <w:t>2023</w:t>
      </w:r>
      <w:r>
        <w:rPr>
          <w:rFonts w:cs="Calibri" w:hint="eastAsia"/>
          <w:sz w:val="18"/>
          <w:szCs w:val="18"/>
        </w:rPr>
        <w:t>年环境治理和保护投入</w:t>
      </w:r>
      <w:r>
        <w:rPr>
          <w:rFonts w:ascii="Calibri" w:hAnsi="Calibri" w:cs="Calibri"/>
          <w:sz w:val="18"/>
          <w:szCs w:val="18"/>
        </w:rPr>
        <w:t>50</w:t>
      </w:r>
      <w:r>
        <w:rPr>
          <w:rFonts w:cs="Calibri" w:hint="eastAsia"/>
          <w:sz w:val="18"/>
          <w:szCs w:val="18"/>
        </w:rPr>
        <w:t>万，缴纳环境保护税</w:t>
      </w:r>
      <w:r>
        <w:rPr>
          <w:rFonts w:ascii="Calibri" w:hAnsi="Calibri" w:cs="Calibri"/>
          <w:sz w:val="18"/>
          <w:szCs w:val="18"/>
        </w:rPr>
        <w:t>2.16</w:t>
      </w:r>
      <w:r>
        <w:rPr>
          <w:rFonts w:ascii="Calibri" w:hAnsi="Calibri" w:cs="Calibri"/>
          <w:sz w:val="18"/>
          <w:szCs w:val="18"/>
        </w:rPr>
        <w:t>万</w:t>
      </w:r>
      <w:r>
        <w:rPr>
          <w:rFonts w:cs="Calibri" w:hint="eastAsia"/>
          <w:sz w:val="18"/>
          <w:szCs w:val="18"/>
        </w:rPr>
        <w:t>元。</w:t>
      </w:r>
    </w:p>
    <w:p w:rsidR="008D4B2E" w:rsidRDefault="008D4B2E">
      <w:pPr>
        <w:pStyle w:val="a3"/>
        <w:spacing w:before="0" w:beforeAutospacing="0" w:after="0" w:afterAutospacing="0"/>
        <w:divId w:val="1481113752"/>
        <w:rPr>
          <w:rFonts w:ascii="Calibri" w:hAnsi="Calibri" w:cs="Calibri"/>
          <w:sz w:val="21"/>
          <w:szCs w:val="21"/>
        </w:rPr>
      </w:pPr>
      <w:r>
        <w:rPr>
          <w:rFonts w:ascii="Calibri" w:hAnsi="Calibri" w:cs="Calibri"/>
          <w:sz w:val="21"/>
          <w:szCs w:val="21"/>
        </w:rPr>
        <w:t> </w:t>
      </w:r>
    </w:p>
    <w:p w:rsidR="008D4B2E" w:rsidRDefault="008D4B2E">
      <w:pPr>
        <w:pStyle w:val="a3"/>
        <w:spacing w:before="0" w:beforeAutospacing="0" w:after="0" w:afterAutospacing="0"/>
        <w:divId w:val="1481113752"/>
        <w:rPr>
          <w:rFonts w:ascii="Calibri" w:hAnsi="Calibri" w:cs="Calibri"/>
          <w:sz w:val="21"/>
          <w:szCs w:val="21"/>
        </w:rPr>
      </w:pPr>
      <w:r>
        <w:rPr>
          <w:rFonts w:cs="Calibri" w:hint="eastAsia"/>
          <w:sz w:val="18"/>
          <w:szCs w:val="18"/>
        </w:rPr>
        <w:t>抚顺伊科思：</w:t>
      </w:r>
    </w:p>
    <w:p w:rsidR="008D4B2E" w:rsidRDefault="008D4B2E" w:rsidP="00C067EE">
      <w:pPr>
        <w:pStyle w:val="a3"/>
        <w:spacing w:before="0" w:beforeAutospacing="0" w:after="0" w:afterAutospacing="0"/>
        <w:ind w:firstLineChars="200" w:firstLine="360"/>
        <w:divId w:val="1481113752"/>
        <w:rPr>
          <w:rFonts w:ascii="Calibri" w:hAnsi="Calibri" w:cs="Calibri"/>
          <w:sz w:val="21"/>
          <w:szCs w:val="21"/>
        </w:rPr>
      </w:pPr>
      <w:r>
        <w:rPr>
          <w:rFonts w:ascii="Calibri" w:hAnsi="Calibri" w:cs="Calibri"/>
          <w:sz w:val="18"/>
          <w:szCs w:val="18"/>
        </w:rPr>
        <w:t>2023</w:t>
      </w:r>
      <w:r>
        <w:rPr>
          <w:rFonts w:cs="Calibri" w:hint="eastAsia"/>
          <w:sz w:val="18"/>
          <w:szCs w:val="18"/>
        </w:rPr>
        <w:t>年更换油气回收设施活性炭及催化剂，大约</w:t>
      </w:r>
      <w:r>
        <w:rPr>
          <w:rFonts w:ascii="Calibri" w:hAnsi="Calibri" w:cs="Calibri"/>
          <w:sz w:val="18"/>
          <w:szCs w:val="18"/>
        </w:rPr>
        <w:t>40</w:t>
      </w:r>
      <w:r>
        <w:rPr>
          <w:rFonts w:cs="Calibri" w:hint="eastAsia"/>
          <w:sz w:val="18"/>
          <w:szCs w:val="18"/>
        </w:rPr>
        <w:t>万元。因废水需要统一排放至高新区污水处理厂，不属于直接排放，废气排放污染因子均不属于环保税中要求缴纳范围，所以无需缴纳环保税。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在报告期内为减少其碳排放所采取的措施及效果</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报告期内因环境问题受到行政处罚的情况</w:t>
      </w:r>
      <w:r w:rsidR="006C5451">
        <w:rPr>
          <w:rFonts w:ascii="宋体" w:eastAsia="宋体" w:hAnsi="宋体" w:cs="宋体"/>
          <w:sz w:val="18"/>
          <w:szCs w:val="18"/>
        </w:rPr>
        <w:t>：无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其他应当公开的环境信息</w:t>
      </w:r>
      <w:r w:rsidR="006C5451">
        <w:rPr>
          <w:rFonts w:ascii="宋体" w:eastAsia="宋体" w:hAnsi="宋体" w:cs="宋体"/>
          <w:sz w:val="18"/>
          <w:szCs w:val="18"/>
        </w:rPr>
        <w:t>：无</w:t>
      </w:r>
    </w:p>
    <w:p w:rsidR="008D4B2E" w:rsidRPr="006C5451" w:rsidRDefault="008D4B2E" w:rsidP="006C5451">
      <w:pPr>
        <w:spacing w:before="100" w:after="100" w:line="240" w:lineRule="exact"/>
        <w:rPr>
          <w:rFonts w:ascii="宋体" w:eastAsia="宋体" w:hAnsi="宋体" w:cs="宋体"/>
          <w:sz w:val="18"/>
          <w:szCs w:val="18"/>
        </w:rPr>
      </w:pPr>
      <w:r>
        <w:rPr>
          <w:rFonts w:ascii="宋体" w:eastAsia="宋体" w:hAnsi="宋体" w:cs="宋体"/>
          <w:sz w:val="18"/>
          <w:szCs w:val="18"/>
        </w:rPr>
        <w:t>其他环保相关信息</w:t>
      </w:r>
      <w:r w:rsidR="006C5451">
        <w:rPr>
          <w:rFonts w:ascii="宋体" w:eastAsia="宋体" w:hAnsi="宋体" w:cs="宋体"/>
          <w:sz w:val="18"/>
          <w:szCs w:val="18"/>
        </w:rPr>
        <w:t>：无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公司需遵守《深圳证券交易所上市公司自律监管指引第3号——行业信息披露》中化工行业的披露要求</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上市公司发生环境事故的相关情况</w:t>
      </w:r>
    </w:p>
    <w:p w:rsidR="008D4B2E" w:rsidRDefault="008D4B2E">
      <w:pPr>
        <w:pStyle w:val="a3"/>
        <w:divId w:val="619452814"/>
        <w:rPr>
          <w:sz w:val="18"/>
          <w:szCs w:val="18"/>
        </w:rPr>
      </w:pPr>
      <w:r>
        <w:rPr>
          <w:rFonts w:hint="eastAsia"/>
          <w:sz w:val="18"/>
          <w:szCs w:val="18"/>
        </w:rPr>
        <w:t>无</w:t>
      </w:r>
    </w:p>
    <w:p w:rsidR="00BA0365" w:rsidRDefault="008D4B2E">
      <w:pPr>
        <w:pStyle w:val="2"/>
        <w:spacing w:before="300" w:after="300" w:line="320" w:lineRule="exact"/>
        <w:rPr>
          <w:rFonts w:ascii="宋体" w:eastAsia="宋体" w:hAnsi="宋体" w:cs="宋体"/>
          <w:b/>
          <w:bCs/>
          <w:sz w:val="24"/>
          <w:szCs w:val="24"/>
        </w:rPr>
      </w:pPr>
      <w:bookmarkStart w:id="93" w:name="_Toc988982"/>
      <w:r>
        <w:rPr>
          <w:rFonts w:ascii="宋体" w:eastAsia="宋体" w:hAnsi="宋体" w:cs="宋体"/>
          <w:b/>
          <w:bCs/>
          <w:sz w:val="24"/>
          <w:szCs w:val="24"/>
        </w:rPr>
        <w:t>二、社会责任情况</w:t>
      </w:r>
      <w:bookmarkEnd w:id="93"/>
    </w:p>
    <w:p w:rsidR="008D4B2E" w:rsidRDefault="008D4B2E">
      <w:pPr>
        <w:pStyle w:val="a3"/>
        <w:spacing w:before="0" w:beforeAutospacing="0" w:after="0" w:afterAutospacing="0"/>
        <w:ind w:firstLine="360"/>
        <w:divId w:val="2009206045"/>
      </w:pPr>
      <w:r>
        <w:rPr>
          <w:rFonts w:hint="eastAsia"/>
          <w:sz w:val="18"/>
          <w:szCs w:val="18"/>
        </w:rPr>
        <w:t>《</w:t>
      </w:r>
      <w:r>
        <w:rPr>
          <w:rFonts w:hint="eastAsia"/>
          <w:color w:val="000000"/>
          <w:sz w:val="18"/>
          <w:szCs w:val="18"/>
        </w:rPr>
        <w:t>公司2023年度可持续发展报告</w:t>
      </w:r>
      <w:r>
        <w:rPr>
          <w:rFonts w:hint="eastAsia"/>
          <w:sz w:val="18"/>
          <w:szCs w:val="18"/>
        </w:rPr>
        <w:t>》刊登于</w:t>
      </w:r>
      <w:r>
        <w:rPr>
          <w:rFonts w:ascii="Times New Roman" w:hAnsi="Times New Roman" w:cs="Times New Roman"/>
          <w:sz w:val="18"/>
          <w:szCs w:val="18"/>
        </w:rPr>
        <w:t>2024</w:t>
      </w:r>
      <w:r>
        <w:rPr>
          <w:rFonts w:hint="eastAsia"/>
          <w:sz w:val="18"/>
          <w:szCs w:val="18"/>
        </w:rPr>
        <w:t>年</w:t>
      </w:r>
      <w:r>
        <w:rPr>
          <w:rFonts w:ascii="Times New Roman" w:hAnsi="Times New Roman" w:cs="Times New Roman"/>
          <w:sz w:val="18"/>
          <w:szCs w:val="18"/>
        </w:rPr>
        <w:t>4</w:t>
      </w:r>
      <w:r>
        <w:rPr>
          <w:rFonts w:hint="eastAsia"/>
          <w:sz w:val="18"/>
          <w:szCs w:val="18"/>
        </w:rPr>
        <w:t>月3日巨潮资讯网站（</w:t>
      </w:r>
      <w:hyperlink r:id="rId10" w:history="1">
        <w:r>
          <w:rPr>
            <w:rStyle w:val="a5"/>
            <w:rFonts w:ascii="Times New Roman" w:hAnsi="Times New Roman" w:cs="Times New Roman"/>
            <w:sz w:val="18"/>
            <w:szCs w:val="18"/>
          </w:rPr>
          <w:t>http://www.cninfo.com.cn</w:t>
        </w:r>
      </w:hyperlink>
      <w:r>
        <w:rPr>
          <w:rFonts w:hint="eastAsia"/>
          <w:sz w:val="18"/>
          <w:szCs w:val="18"/>
        </w:rPr>
        <w:t>）。</w:t>
      </w:r>
    </w:p>
    <w:p w:rsidR="008D4B2E" w:rsidRDefault="008D4B2E">
      <w:pPr>
        <w:pStyle w:val="a3"/>
        <w:spacing w:before="0" w:beforeAutospacing="0" w:after="0" w:afterAutospacing="0"/>
        <w:ind w:firstLine="360"/>
        <w:divId w:val="2009206045"/>
      </w:pPr>
      <w:r>
        <w:rPr>
          <w:rFonts w:hint="eastAsia"/>
          <w:sz w:val="18"/>
          <w:szCs w:val="18"/>
        </w:rPr>
        <w:t>公司历来把企业的发展战略和企业的社会责任相结合，将社会责任的发展规划和实践同公司自身的发展目标相结合。深入贯彻科学发展观，积极带动当地经济和社会的发展，继续倡导节能减排、绿色环保，致力于维护公司全体员工的利益，加强与利益相关方进行沟通合作，奋力推进公司可持续发展，大力发展循环经济，为建设环境友好型和资源节约型社会做出应有的贡献，努力实现企业的社会价值和自身价值的有机统一。</w:t>
      </w:r>
    </w:p>
    <w:p w:rsidR="008D4B2E" w:rsidRDefault="008D4B2E">
      <w:pPr>
        <w:pStyle w:val="a3"/>
        <w:spacing w:before="0" w:beforeAutospacing="0" w:after="0" w:afterAutospacing="0"/>
        <w:ind w:firstLine="360"/>
        <w:divId w:val="2009206045"/>
      </w:pPr>
      <w:r>
        <w:rPr>
          <w:rFonts w:hint="eastAsia"/>
          <w:sz w:val="18"/>
          <w:szCs w:val="18"/>
        </w:rPr>
        <w:t xml:space="preserve">报告期内，公司按照《上市公司自律监管指引第1号—主板上市公司规范运作》等相关规定，积极维护公司股东、债权人、供应商、客户、员工权益保护；积极落实安全生产、节能减排、环境保护工作，同时积极参与社会公益活动，公司在报告期内基本完成了上一年度承诺的社会责任。 </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公司需遵守《深圳证券交易所上市公司自律监管指引第3号——行业信息披露》中化工行业的披露要求</w:t>
      </w:r>
    </w:p>
    <w:p w:rsidR="008D4B2E" w:rsidRDefault="008D4B2E">
      <w:pPr>
        <w:pStyle w:val="a3"/>
        <w:divId w:val="240260307"/>
        <w:rPr>
          <w:sz w:val="18"/>
          <w:szCs w:val="18"/>
        </w:rPr>
      </w:pPr>
      <w:r>
        <w:rPr>
          <w:rFonts w:hint="eastAsia"/>
          <w:sz w:val="18"/>
          <w:szCs w:val="18"/>
        </w:rPr>
        <w:t>无</w:t>
      </w:r>
    </w:p>
    <w:p w:rsidR="00BA0365" w:rsidRDefault="008D4B2E">
      <w:pPr>
        <w:pStyle w:val="2"/>
        <w:spacing w:before="300" w:after="300" w:line="320" w:lineRule="exact"/>
        <w:rPr>
          <w:rFonts w:ascii="宋体" w:eastAsia="宋体" w:hAnsi="宋体" w:cs="宋体"/>
          <w:b/>
          <w:bCs/>
          <w:sz w:val="24"/>
          <w:szCs w:val="24"/>
        </w:rPr>
      </w:pPr>
      <w:bookmarkStart w:id="94" w:name="_Toc988983"/>
      <w:r>
        <w:rPr>
          <w:rFonts w:ascii="宋体" w:eastAsia="宋体" w:hAnsi="宋体" w:cs="宋体"/>
          <w:b/>
          <w:bCs/>
          <w:sz w:val="24"/>
          <w:szCs w:val="24"/>
        </w:rPr>
        <w:t>三、巩固拓展脱贫攻坚成果、乡村振兴的情况</w:t>
      </w:r>
      <w:bookmarkEnd w:id="94"/>
    </w:p>
    <w:p w:rsidR="008D4B2E" w:rsidRDefault="008D4B2E">
      <w:pPr>
        <w:pStyle w:val="a3"/>
        <w:spacing w:before="0" w:beforeAutospacing="0" w:after="0" w:afterAutospacing="0"/>
        <w:ind w:firstLine="360"/>
        <w:divId w:val="2080248738"/>
      </w:pPr>
      <w:r>
        <w:rPr>
          <w:rFonts w:hint="eastAsia"/>
          <w:sz w:val="18"/>
          <w:szCs w:val="18"/>
        </w:rPr>
        <w:t>公司截止</w:t>
      </w:r>
      <w:r>
        <w:rPr>
          <w:rFonts w:ascii="Times New Roman" w:hAnsi="Times New Roman" w:cs="Times New Roman"/>
          <w:sz w:val="18"/>
          <w:szCs w:val="18"/>
        </w:rPr>
        <w:t>2023</w:t>
      </w:r>
      <w:r>
        <w:rPr>
          <w:rFonts w:hint="eastAsia"/>
          <w:sz w:val="18"/>
          <w:szCs w:val="18"/>
        </w:rPr>
        <w:t>年度暂未开展巩固脱贫攻坚成果、乡村振兴相关工作。</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95" w:name="_Toc988984"/>
      <w:r>
        <w:rPr>
          <w:rFonts w:ascii="宋体" w:eastAsia="宋体" w:hAnsi="宋体" w:cs="宋体"/>
          <w:b/>
          <w:bCs/>
          <w:sz w:val="32"/>
          <w:szCs w:val="32"/>
        </w:rPr>
        <w:lastRenderedPageBreak/>
        <w:t>第六节 重要事项</w:t>
      </w:r>
      <w:bookmarkEnd w:id="95"/>
    </w:p>
    <w:p w:rsidR="00BA0365" w:rsidRDefault="008D4B2E">
      <w:pPr>
        <w:pStyle w:val="2"/>
        <w:spacing w:before="300" w:after="300" w:line="320" w:lineRule="exact"/>
        <w:rPr>
          <w:rFonts w:ascii="宋体" w:eastAsia="宋体" w:hAnsi="宋体" w:cs="宋体"/>
          <w:b/>
          <w:bCs/>
          <w:sz w:val="24"/>
          <w:szCs w:val="24"/>
        </w:rPr>
      </w:pPr>
      <w:bookmarkStart w:id="96" w:name="_Toc988985"/>
      <w:r>
        <w:rPr>
          <w:rFonts w:ascii="宋体" w:eastAsia="宋体" w:hAnsi="宋体" w:cs="宋体"/>
          <w:b/>
          <w:bCs/>
          <w:sz w:val="24"/>
          <w:szCs w:val="24"/>
        </w:rPr>
        <w:t>一、承诺事项履行情况</w:t>
      </w:r>
      <w:bookmarkEnd w:id="96"/>
    </w:p>
    <w:p w:rsidR="00BA0365" w:rsidRDefault="008D4B2E">
      <w:pPr>
        <w:pStyle w:val="3"/>
        <w:spacing w:line="280" w:lineRule="exact"/>
        <w:jc w:val="left"/>
        <w:rPr>
          <w:rFonts w:ascii="宋体" w:hAnsi="宋体" w:cs="宋体"/>
          <w:b/>
          <w:bCs/>
        </w:rPr>
      </w:pPr>
      <w:bookmarkStart w:id="97" w:name="_Toc988986"/>
      <w:r>
        <w:rPr>
          <w:rFonts w:ascii="宋体" w:hAnsi="宋体" w:cs="宋体"/>
          <w:b/>
          <w:bCs/>
        </w:rPr>
        <w:t>1、公司实际控制人、股东、关联方、收购人以及公司等承诺相关方在报告期内履行完毕及截至报告期末尚未履行完毕的承诺事项</w:t>
      </w:r>
      <w:bookmarkEnd w:id="9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1377"/>
        <w:gridCol w:w="858"/>
        <w:gridCol w:w="992"/>
        <w:gridCol w:w="3118"/>
        <w:gridCol w:w="1134"/>
        <w:gridCol w:w="1134"/>
        <w:gridCol w:w="1026"/>
      </w:tblGrid>
      <w:tr w:rsidR="00157EA0" w:rsidTr="006C5451">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承诺事由</w:t>
            </w:r>
          </w:p>
        </w:tc>
        <w:tc>
          <w:tcPr>
            <w:tcW w:w="85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承诺方</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承诺类型</w:t>
            </w:r>
          </w:p>
        </w:tc>
        <w:tc>
          <w:tcPr>
            <w:tcW w:w="31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承诺内容</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承诺时间</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承诺期限</w:t>
            </w:r>
          </w:p>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履行情况</w:t>
            </w:r>
          </w:p>
        </w:tc>
      </w:tr>
      <w:tr w:rsidR="00157EA0" w:rsidTr="006C5451">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首次公开发行或再融资时所作承诺</w:t>
            </w:r>
          </w:p>
        </w:tc>
        <w:tc>
          <w:tcPr>
            <w:tcW w:w="85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袁仲雪</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避免同业竞争承诺</w:t>
            </w:r>
          </w:p>
        </w:tc>
        <w:tc>
          <w:tcPr>
            <w:tcW w:w="31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不投资</w:t>
            </w:r>
            <w:proofErr w:type="gramStart"/>
            <w:r>
              <w:rPr>
                <w:rFonts w:ascii="宋体" w:eastAsia="宋体" w:hAnsi="宋体" w:cs="宋体"/>
                <w:sz w:val="18"/>
                <w:szCs w:val="18"/>
              </w:rPr>
              <w:t>与软控股份有限公司</w:t>
            </w:r>
            <w:proofErr w:type="gramEnd"/>
            <w:r>
              <w:rPr>
                <w:rFonts w:ascii="宋体" w:eastAsia="宋体" w:hAnsi="宋体" w:cs="宋体"/>
                <w:sz w:val="18"/>
                <w:szCs w:val="18"/>
              </w:rPr>
              <w:t>已经或拟订生产、经营产品相同或相似的产品的生产、经营活动，不为</w:t>
            </w:r>
            <w:proofErr w:type="gramStart"/>
            <w:r>
              <w:rPr>
                <w:rFonts w:ascii="宋体" w:eastAsia="宋体" w:hAnsi="宋体" w:cs="宋体"/>
                <w:sz w:val="18"/>
                <w:szCs w:val="18"/>
              </w:rPr>
              <w:t>其他第三方从事</w:t>
            </w:r>
            <w:proofErr w:type="gramEnd"/>
            <w:r>
              <w:rPr>
                <w:rFonts w:ascii="宋体" w:eastAsia="宋体" w:hAnsi="宋体" w:cs="宋体"/>
                <w:sz w:val="18"/>
                <w:szCs w:val="18"/>
              </w:rPr>
              <w:t>相同或相似产品的生产经营活动，放弃竞争。</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2006年10月18日</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长期</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严格履行</w:t>
            </w:r>
          </w:p>
        </w:tc>
      </w:tr>
      <w:tr w:rsidR="00157EA0" w:rsidTr="006C5451">
        <w:trPr>
          <w:trHeight w:val="240"/>
        </w:trPr>
        <w:tc>
          <w:tcPr>
            <w:tcW w:w="322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承诺是否按时履行</w:t>
            </w:r>
          </w:p>
        </w:tc>
        <w:tc>
          <w:tcPr>
            <w:tcW w:w="6412"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r>
      <w:tr w:rsidR="00157EA0" w:rsidTr="006C5451">
        <w:trPr>
          <w:trHeight w:val="240"/>
        </w:trPr>
        <w:tc>
          <w:tcPr>
            <w:tcW w:w="322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proofErr w:type="gramStart"/>
            <w:r>
              <w:rPr>
                <w:rFonts w:ascii="宋体" w:eastAsia="宋体" w:hAnsi="宋体" w:cs="宋体"/>
                <w:sz w:val="18"/>
                <w:szCs w:val="18"/>
              </w:rPr>
              <w:t>如承诺</w:t>
            </w:r>
            <w:proofErr w:type="gramEnd"/>
            <w:r>
              <w:rPr>
                <w:rFonts w:ascii="宋体" w:eastAsia="宋体" w:hAnsi="宋体" w:cs="宋体"/>
                <w:sz w:val="18"/>
                <w:szCs w:val="18"/>
              </w:rPr>
              <w:t>超期未履行完毕的，应当详细说明未完</w:t>
            </w:r>
            <w:proofErr w:type="gramStart"/>
            <w:r>
              <w:rPr>
                <w:rFonts w:ascii="宋体" w:eastAsia="宋体" w:hAnsi="宋体" w:cs="宋体"/>
                <w:sz w:val="18"/>
                <w:szCs w:val="18"/>
              </w:rPr>
              <w:t>成履行</w:t>
            </w:r>
            <w:proofErr w:type="gramEnd"/>
            <w:r>
              <w:rPr>
                <w:rFonts w:ascii="宋体" w:eastAsia="宋体" w:hAnsi="宋体" w:cs="宋体"/>
                <w:sz w:val="18"/>
                <w:szCs w:val="18"/>
              </w:rPr>
              <w:t>的具体原因及下一步的工作计划</w:t>
            </w:r>
          </w:p>
        </w:tc>
        <w:tc>
          <w:tcPr>
            <w:tcW w:w="6412"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bl>
    <w:p w:rsidR="00BA0365" w:rsidRDefault="008D4B2E">
      <w:pPr>
        <w:pStyle w:val="3"/>
        <w:spacing w:line="280" w:lineRule="exact"/>
        <w:jc w:val="left"/>
        <w:rPr>
          <w:rFonts w:ascii="宋体" w:hAnsi="宋体" w:cs="宋体"/>
          <w:b/>
          <w:bCs/>
        </w:rPr>
      </w:pPr>
      <w:bookmarkStart w:id="98" w:name="_Toc988987"/>
      <w:r>
        <w:rPr>
          <w:rFonts w:ascii="宋体" w:hAnsi="宋体" w:cs="宋体"/>
          <w:b/>
          <w:bCs/>
        </w:rPr>
        <w:t>2、公司资产或项目存在盈利预测，</w:t>
      </w:r>
      <w:proofErr w:type="gramStart"/>
      <w:r>
        <w:rPr>
          <w:rFonts w:ascii="宋体" w:hAnsi="宋体" w:cs="宋体"/>
          <w:b/>
          <w:bCs/>
        </w:rPr>
        <w:t>且报告</w:t>
      </w:r>
      <w:proofErr w:type="gramEnd"/>
      <w:r>
        <w:rPr>
          <w:rFonts w:ascii="宋体" w:hAnsi="宋体" w:cs="宋体"/>
          <w:b/>
          <w:bCs/>
        </w:rPr>
        <w:t>期仍处在盈利预测期间，公司就资产或项目达到原盈利预测及其原因做出说明</w:t>
      </w:r>
      <w:bookmarkEnd w:id="9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99" w:name="_Toc988988"/>
      <w:r>
        <w:rPr>
          <w:rFonts w:ascii="宋体" w:eastAsia="宋体" w:hAnsi="宋体" w:cs="宋体"/>
          <w:b/>
          <w:bCs/>
          <w:sz w:val="24"/>
          <w:szCs w:val="24"/>
        </w:rPr>
        <w:t>二、控股股东及其他关联方对上市公司的非经营性占用资金情况</w:t>
      </w:r>
      <w:bookmarkEnd w:id="9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公司报告期不存在控股股东及其他关联方对上市公司的非经营性占用资金。</w:t>
      </w:r>
    </w:p>
    <w:p w:rsidR="00BA0365" w:rsidRDefault="008D4B2E">
      <w:pPr>
        <w:pStyle w:val="2"/>
        <w:spacing w:before="300" w:after="300" w:line="320" w:lineRule="exact"/>
        <w:rPr>
          <w:rFonts w:ascii="宋体" w:eastAsia="宋体" w:hAnsi="宋体" w:cs="宋体"/>
          <w:b/>
          <w:bCs/>
          <w:sz w:val="24"/>
          <w:szCs w:val="24"/>
        </w:rPr>
      </w:pPr>
      <w:bookmarkStart w:id="100" w:name="_Toc988989"/>
      <w:r>
        <w:rPr>
          <w:rFonts w:ascii="宋体" w:eastAsia="宋体" w:hAnsi="宋体" w:cs="宋体"/>
          <w:b/>
          <w:bCs/>
          <w:sz w:val="24"/>
          <w:szCs w:val="24"/>
        </w:rPr>
        <w:t>三、违规对外担保情况</w:t>
      </w:r>
      <w:bookmarkEnd w:id="100"/>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公司报告期无违规对外担保情况。</w:t>
      </w:r>
    </w:p>
    <w:p w:rsidR="00BA0365" w:rsidRDefault="008D4B2E">
      <w:pPr>
        <w:pStyle w:val="2"/>
        <w:spacing w:before="300" w:after="300" w:line="320" w:lineRule="exact"/>
        <w:rPr>
          <w:rFonts w:ascii="宋体" w:eastAsia="宋体" w:hAnsi="宋体" w:cs="宋体"/>
          <w:b/>
          <w:bCs/>
          <w:sz w:val="24"/>
          <w:szCs w:val="24"/>
        </w:rPr>
      </w:pPr>
      <w:bookmarkStart w:id="101" w:name="_Toc988990"/>
      <w:r>
        <w:rPr>
          <w:rFonts w:ascii="宋体" w:eastAsia="宋体" w:hAnsi="宋体" w:cs="宋体"/>
          <w:b/>
          <w:bCs/>
          <w:sz w:val="24"/>
          <w:szCs w:val="24"/>
        </w:rPr>
        <w:t>四、董事会对最近一期“非标准审计报告”相关情况的说明</w:t>
      </w:r>
      <w:bookmarkEnd w:id="10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02" w:name="_Toc988991"/>
      <w:r>
        <w:rPr>
          <w:rFonts w:ascii="宋体" w:eastAsia="宋体" w:hAnsi="宋体" w:cs="宋体"/>
          <w:b/>
          <w:bCs/>
          <w:sz w:val="24"/>
          <w:szCs w:val="24"/>
        </w:rPr>
        <w:t>五、董事会、监事会、独立董事（如有）对会计师事务所本报告期“非标准审计报告”的说明</w:t>
      </w:r>
      <w:bookmarkEnd w:id="10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03" w:name="_Toc988992"/>
      <w:r>
        <w:rPr>
          <w:rFonts w:ascii="宋体" w:eastAsia="宋体" w:hAnsi="宋体" w:cs="宋体"/>
          <w:b/>
          <w:bCs/>
          <w:sz w:val="24"/>
          <w:szCs w:val="24"/>
        </w:rPr>
        <w:t xml:space="preserve">六、与上年度财务报告相比，会计政策、会计估计变更或重大会计差错更正的情况说明 </w:t>
      </w:r>
      <w:bookmarkEnd w:id="103"/>
    </w:p>
    <w:p w:rsidR="00BA0365" w:rsidRDefault="0040791A">
      <w:pPr>
        <w:spacing w:before="100" w:after="100" w:line="240" w:lineRule="exact"/>
        <w:rPr>
          <w:rFonts w:ascii="宋体" w:eastAsia="宋体" w:hAnsi="宋体" w:cs="宋体"/>
          <w:sz w:val="18"/>
          <w:szCs w:val="18"/>
        </w:rPr>
      </w:pPr>
      <w:r>
        <w:rPr>
          <w:rFonts w:ascii="宋体" w:eastAsia="宋体" w:hAnsi="宋体" w:cs="宋体"/>
          <w:sz w:val="18"/>
          <w:szCs w:val="18"/>
        </w:rPr>
        <w:t>□</w:t>
      </w:r>
      <w:r w:rsidR="008D4B2E">
        <w:rPr>
          <w:rFonts w:ascii="宋体" w:eastAsia="宋体" w:hAnsi="宋体" w:cs="宋体"/>
          <w:sz w:val="18"/>
          <w:szCs w:val="18"/>
        </w:rPr>
        <w:t xml:space="preserve">适用 </w:t>
      </w:r>
      <w:r>
        <w:rPr>
          <w:rFonts w:ascii="宋体" w:eastAsia="宋体" w:hAnsi="宋体" w:cs="宋体"/>
          <w:sz w:val="18"/>
          <w:szCs w:val="18"/>
        </w:rPr>
        <w:sym w:font="Wingdings 2" w:char="F052"/>
      </w:r>
      <w:r w:rsidR="008D4B2E">
        <w:rPr>
          <w:rFonts w:ascii="宋体" w:eastAsia="宋体" w:hAnsi="宋体" w:cs="宋体"/>
          <w:sz w:val="18"/>
          <w:szCs w:val="18"/>
        </w:rPr>
        <w:t>不适用</w:t>
      </w:r>
    </w:p>
    <w:p w:rsidR="008D4B2E" w:rsidRPr="00C067EE" w:rsidRDefault="0040791A" w:rsidP="00C067EE">
      <w:r>
        <w:rPr>
          <w:rFonts w:ascii="宋体" w:eastAsia="宋体" w:hAnsi="宋体" w:cs="Times New Roman" w:hint="eastAsia"/>
          <w:kern w:val="0"/>
          <w:sz w:val="18"/>
          <w:szCs w:val="18"/>
        </w:rPr>
        <w:lastRenderedPageBreak/>
        <w:t>公司报告期无会计政策、会计估计变更或重大会计差错更正的情况。</w:t>
      </w:r>
    </w:p>
    <w:p w:rsidR="00BA0365" w:rsidRDefault="008D4B2E">
      <w:pPr>
        <w:pStyle w:val="2"/>
        <w:spacing w:before="300" w:after="300" w:line="320" w:lineRule="exact"/>
        <w:rPr>
          <w:rFonts w:ascii="宋体" w:eastAsia="宋体" w:hAnsi="宋体" w:cs="宋体"/>
          <w:b/>
          <w:bCs/>
          <w:sz w:val="24"/>
          <w:szCs w:val="24"/>
        </w:rPr>
      </w:pPr>
      <w:bookmarkStart w:id="104" w:name="_Toc988993"/>
      <w:r>
        <w:rPr>
          <w:rFonts w:ascii="宋体" w:eastAsia="宋体" w:hAnsi="宋体" w:cs="宋体"/>
          <w:b/>
          <w:bCs/>
          <w:sz w:val="24"/>
          <w:szCs w:val="24"/>
        </w:rPr>
        <w:t>七、与上年度财务报告相比，合并报表范围发生变化的情况说明</w:t>
      </w:r>
      <w:bookmarkEnd w:id="10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C067EE" w:rsidRDefault="008D4B2E" w:rsidP="00C067EE">
      <w:pPr>
        <w:divId w:val="26302516"/>
        <w:rPr>
          <w:rFonts w:ascii="宋体" w:eastAsia="宋体" w:hAnsi="宋体" w:cs="Times New Roman"/>
          <w:kern w:val="0"/>
          <w:sz w:val="18"/>
          <w:szCs w:val="18"/>
        </w:rPr>
      </w:pPr>
      <w:r w:rsidRPr="00C067EE">
        <w:rPr>
          <w:rFonts w:ascii="宋体" w:eastAsia="宋体" w:hAnsi="宋体" w:cs="Times New Roman"/>
          <w:kern w:val="0"/>
          <w:sz w:val="18"/>
          <w:szCs w:val="18"/>
        </w:rPr>
        <w:t>1</w:t>
      </w:r>
      <w:r w:rsidRPr="00C067EE">
        <w:rPr>
          <w:rFonts w:ascii="宋体" w:eastAsia="宋体" w:hAnsi="宋体" w:cs="Times New Roman" w:hint="eastAsia"/>
          <w:kern w:val="0"/>
          <w:sz w:val="18"/>
          <w:szCs w:val="18"/>
        </w:rPr>
        <w:t>、与上年相比本期新增合并单位</w:t>
      </w:r>
      <w:r w:rsidRPr="00C067EE">
        <w:rPr>
          <w:rFonts w:ascii="宋体" w:eastAsia="宋体" w:hAnsi="宋体" w:cs="Times New Roman"/>
          <w:kern w:val="0"/>
          <w:sz w:val="18"/>
          <w:szCs w:val="18"/>
        </w:rPr>
        <w:t>3</w:t>
      </w:r>
      <w:r w:rsidRPr="00C067EE">
        <w:rPr>
          <w:rFonts w:ascii="宋体" w:eastAsia="宋体" w:hAnsi="宋体" w:cs="Times New Roman" w:hint="eastAsia"/>
          <w:kern w:val="0"/>
          <w:sz w:val="18"/>
          <w:szCs w:val="18"/>
        </w:rPr>
        <w:t>家，具体包括</w:t>
      </w:r>
      <w:proofErr w:type="gramStart"/>
      <w:r w:rsidRPr="00C067EE">
        <w:rPr>
          <w:rFonts w:ascii="宋体" w:eastAsia="宋体" w:hAnsi="宋体" w:cs="Times New Roman" w:hint="eastAsia"/>
          <w:kern w:val="0"/>
          <w:sz w:val="18"/>
          <w:szCs w:val="18"/>
        </w:rPr>
        <w:t>菏泽智控能源</w:t>
      </w:r>
      <w:proofErr w:type="gramEnd"/>
      <w:r w:rsidRPr="00C067EE">
        <w:rPr>
          <w:rFonts w:ascii="宋体" w:eastAsia="宋体" w:hAnsi="宋体" w:cs="Times New Roman" w:hint="eastAsia"/>
          <w:kern w:val="0"/>
          <w:sz w:val="18"/>
          <w:szCs w:val="18"/>
        </w:rPr>
        <w:t>发展有限公司、HKZQ ENERGY AND TECHNOLOGY CO., LTD.、德州智控新能源发展有限公司，均系本年新设立的公司。</w:t>
      </w:r>
    </w:p>
    <w:p w:rsidR="008D4B2E" w:rsidRPr="00C067EE" w:rsidRDefault="008D4B2E">
      <w:pPr>
        <w:divId w:val="1502158255"/>
        <w:rPr>
          <w:rFonts w:ascii="宋体" w:eastAsia="宋体" w:hAnsi="宋体" w:cs="Times New Roman"/>
          <w:kern w:val="0"/>
          <w:sz w:val="18"/>
          <w:szCs w:val="18"/>
        </w:rPr>
      </w:pPr>
      <w:r w:rsidRPr="00C067EE">
        <w:rPr>
          <w:rFonts w:ascii="宋体" w:eastAsia="宋体" w:hAnsi="宋体" w:cs="Times New Roman"/>
          <w:kern w:val="0"/>
          <w:sz w:val="18"/>
          <w:szCs w:val="18"/>
        </w:rPr>
        <w:t>2</w:t>
      </w:r>
      <w:r w:rsidRPr="00C067EE">
        <w:rPr>
          <w:rFonts w:ascii="宋体" w:eastAsia="宋体" w:hAnsi="宋体" w:cs="Times New Roman" w:hint="eastAsia"/>
          <w:kern w:val="0"/>
          <w:sz w:val="18"/>
          <w:szCs w:val="18"/>
        </w:rPr>
        <w:t>、与上年相比本期减少合并单位</w:t>
      </w:r>
      <w:r w:rsidRPr="00C067EE">
        <w:rPr>
          <w:rFonts w:ascii="宋体" w:eastAsia="宋体" w:hAnsi="宋体" w:cs="Times New Roman"/>
          <w:kern w:val="0"/>
          <w:sz w:val="18"/>
          <w:szCs w:val="18"/>
        </w:rPr>
        <w:t>1</w:t>
      </w:r>
      <w:r w:rsidRPr="00C067EE">
        <w:rPr>
          <w:rFonts w:ascii="宋体" w:eastAsia="宋体" w:hAnsi="宋体" w:cs="Times New Roman" w:hint="eastAsia"/>
          <w:kern w:val="0"/>
          <w:sz w:val="18"/>
          <w:szCs w:val="18"/>
        </w:rPr>
        <w:t>家，具体包括青岛软控智能装备有限公司，因公司股权转让减少</w:t>
      </w:r>
      <w:r w:rsidRPr="00C067EE">
        <w:rPr>
          <w:rFonts w:ascii="MS Gothic" w:eastAsia="MS Gothic" w:hAnsi="MS Gothic" w:cs="MS Gothic" w:hint="eastAsia"/>
          <w:kern w:val="0"/>
          <w:sz w:val="18"/>
          <w:szCs w:val="18"/>
        </w:rPr>
        <w:t>｡</w:t>
      </w:r>
    </w:p>
    <w:p w:rsidR="00BA0365" w:rsidRDefault="008D4B2E">
      <w:pPr>
        <w:pStyle w:val="2"/>
        <w:spacing w:before="300" w:after="300" w:line="320" w:lineRule="exact"/>
        <w:rPr>
          <w:rFonts w:ascii="宋体" w:eastAsia="宋体" w:hAnsi="宋体" w:cs="宋体"/>
          <w:b/>
          <w:bCs/>
          <w:sz w:val="24"/>
          <w:szCs w:val="24"/>
        </w:rPr>
      </w:pPr>
      <w:bookmarkStart w:id="105" w:name="_Toc988994"/>
      <w:r>
        <w:rPr>
          <w:rFonts w:ascii="宋体" w:eastAsia="宋体" w:hAnsi="宋体" w:cs="宋体"/>
          <w:b/>
          <w:bCs/>
          <w:sz w:val="24"/>
          <w:szCs w:val="24"/>
        </w:rPr>
        <w:t>八、聘任、解聘会计师事务所情况</w:t>
      </w:r>
      <w:bookmarkEnd w:id="10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现聘任的会计师事务所</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境内会计师事务所名称</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中兴华会计师事务所（特殊普通合伙）</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境内会计师事务所报酬（万元）</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130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丁兆栋、高宁</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境内会计师事务所注册会计师审计服务的连续年限</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5</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境外会计师事务所名称（如有）</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CliftonLarsonAllen LLP; ALFA AUDIT,S.R.O</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境外会计师事务所报酬（万元）（如有）</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51.54</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境外会计师事务所审计服务的连续年限（如有）</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5</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当期是否改聘会计师事务所</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聘请内部控制审计会计师事务所、财务顾问或保荐人情况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pPr>
        <w:pStyle w:val="a3"/>
        <w:spacing w:beforeAutospacing="0" w:afterAutospacing="0" w:line="240" w:lineRule="atLeast"/>
        <w:divId w:val="651060764"/>
        <w:rPr>
          <w:rFonts w:ascii="Calibri" w:hAnsi="Calibri" w:cs="Calibri"/>
          <w:sz w:val="21"/>
          <w:szCs w:val="21"/>
        </w:rPr>
      </w:pPr>
      <w:r>
        <w:rPr>
          <w:rFonts w:cs="Calibri" w:hint="eastAsia"/>
          <w:sz w:val="18"/>
          <w:szCs w:val="18"/>
        </w:rPr>
        <w:t>报告期内公司聘任中兴华会计师事务所（特殊普通合伙）担任公司内部控制审计机构。 </w:t>
      </w:r>
    </w:p>
    <w:p w:rsidR="00BA0365" w:rsidRDefault="008D4B2E">
      <w:pPr>
        <w:pStyle w:val="2"/>
        <w:spacing w:before="300" w:after="300" w:line="320" w:lineRule="exact"/>
        <w:rPr>
          <w:rFonts w:ascii="宋体" w:eastAsia="宋体" w:hAnsi="宋体" w:cs="宋体"/>
          <w:b/>
          <w:bCs/>
          <w:sz w:val="24"/>
          <w:szCs w:val="24"/>
        </w:rPr>
      </w:pPr>
      <w:bookmarkStart w:id="106" w:name="_Toc988995"/>
      <w:r>
        <w:rPr>
          <w:rFonts w:ascii="宋体" w:eastAsia="宋体" w:hAnsi="宋体" w:cs="宋体"/>
          <w:b/>
          <w:bCs/>
          <w:sz w:val="24"/>
          <w:szCs w:val="24"/>
        </w:rPr>
        <w:t>九、年度报告披露后面临退市情况</w:t>
      </w:r>
      <w:bookmarkEnd w:id="10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07" w:name="_Toc988996"/>
      <w:r>
        <w:rPr>
          <w:rFonts w:ascii="宋体" w:eastAsia="宋体" w:hAnsi="宋体" w:cs="宋体"/>
          <w:b/>
          <w:bCs/>
          <w:sz w:val="24"/>
          <w:szCs w:val="24"/>
        </w:rPr>
        <w:t>十、破产重整相关事项</w:t>
      </w:r>
      <w:bookmarkEnd w:id="10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公司报告期未发生破产重整相关事项。</w:t>
      </w:r>
    </w:p>
    <w:p w:rsidR="00BA0365" w:rsidRDefault="008D4B2E">
      <w:pPr>
        <w:pStyle w:val="2"/>
        <w:spacing w:before="300" w:after="300" w:line="320" w:lineRule="exact"/>
        <w:rPr>
          <w:rFonts w:ascii="宋体" w:eastAsia="宋体" w:hAnsi="宋体" w:cs="宋体"/>
          <w:b/>
          <w:bCs/>
          <w:sz w:val="24"/>
          <w:szCs w:val="24"/>
        </w:rPr>
      </w:pPr>
      <w:bookmarkStart w:id="108" w:name="_Toc988997"/>
      <w:r>
        <w:rPr>
          <w:rFonts w:ascii="宋体" w:eastAsia="宋体" w:hAnsi="宋体" w:cs="宋体"/>
          <w:b/>
          <w:bCs/>
          <w:sz w:val="24"/>
          <w:szCs w:val="24"/>
        </w:rPr>
        <w:t>十一、重大诉讼、仲裁事项</w:t>
      </w:r>
      <w:bookmarkEnd w:id="10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本报告期公司无重大诉讼、仲裁事项。</w:t>
      </w:r>
    </w:p>
    <w:p w:rsidR="00BA0365" w:rsidRDefault="008D4B2E">
      <w:pPr>
        <w:pStyle w:val="2"/>
        <w:spacing w:before="300" w:after="300" w:line="320" w:lineRule="exact"/>
        <w:rPr>
          <w:rFonts w:ascii="宋体" w:eastAsia="宋体" w:hAnsi="宋体" w:cs="宋体"/>
          <w:b/>
          <w:bCs/>
          <w:sz w:val="24"/>
          <w:szCs w:val="24"/>
        </w:rPr>
      </w:pPr>
      <w:bookmarkStart w:id="109" w:name="_Toc988998"/>
      <w:r>
        <w:rPr>
          <w:rFonts w:ascii="宋体" w:eastAsia="宋体" w:hAnsi="宋体" w:cs="宋体"/>
          <w:b/>
          <w:bCs/>
          <w:sz w:val="24"/>
          <w:szCs w:val="24"/>
        </w:rPr>
        <w:t>十二、处罚及整改情况</w:t>
      </w:r>
      <w:bookmarkEnd w:id="10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7370FD" w:rsidRDefault="007370FD">
      <w:pPr>
        <w:spacing w:before="100" w:after="100" w:line="240" w:lineRule="exact"/>
        <w:rPr>
          <w:rFonts w:ascii="宋体" w:eastAsia="宋体" w:hAnsi="宋体" w:cs="宋体"/>
          <w:sz w:val="18"/>
          <w:szCs w:val="18"/>
        </w:rPr>
      </w:pPr>
    </w:p>
    <w:tbl>
      <w:tblPr>
        <w:tblW w:w="9282" w:type="dxa"/>
        <w:tblLayout w:type="fixed"/>
        <w:tblLook w:val="04A0" w:firstRow="1" w:lastRow="0" w:firstColumn="1" w:lastColumn="0" w:noHBand="0" w:noVBand="1"/>
      </w:tblPr>
      <w:tblGrid>
        <w:gridCol w:w="817"/>
        <w:gridCol w:w="709"/>
        <w:gridCol w:w="850"/>
        <w:gridCol w:w="851"/>
        <w:gridCol w:w="3969"/>
        <w:gridCol w:w="992"/>
        <w:gridCol w:w="1094"/>
      </w:tblGrid>
      <w:tr w:rsidR="00157EA0" w:rsidTr="006C5451">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名称/姓名</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类型</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原因</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调查处罚类型</w:t>
            </w:r>
          </w:p>
        </w:tc>
        <w:tc>
          <w:tcPr>
            <w:tcW w:w="396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结论（如有）</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109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w:t>
            </w:r>
          </w:p>
        </w:tc>
      </w:tr>
      <w:tr w:rsidR="00157EA0" w:rsidTr="006C5451">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软控股份有限公司</w:t>
            </w:r>
            <w:proofErr w:type="gramEnd"/>
            <w:r>
              <w:rPr>
                <w:rFonts w:ascii="宋体" w:eastAsia="宋体" w:hAnsi="宋体" w:cs="宋体"/>
                <w:sz w:val="18"/>
                <w:szCs w:val="18"/>
              </w:rPr>
              <w:t>、张垚</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未及时履行审议程序和信息披露义务</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中国证监会采取行政监管措施</w:t>
            </w:r>
          </w:p>
        </w:tc>
        <w:tc>
          <w:tcPr>
            <w:tcW w:w="396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违反了《上市公司监管指引第2号——上市公司募集资金管理和使用的监管要求（2022年修订）》（证监会公告〔2022〕15号）第八条和《上市公司信息披露管理办法》（证监会令第182号）第三条的规定。张垚作为公司财务总监未能勤勉尽责，督促上市公司规范使用募集资金并履行信息披露义务，违反了《上市公司监管指引第2号——上市公司募集资金管理和使用的监管要求（2022年修订）》（证监会公告〔2022〕15号）第三条和《上市公司信息披露管理办法》（证监会令第182号）第四条的规定。根据《上市公司信息披露管理办法》（证监会令第182号）第五十二条的规定，青岛证监局决定对公司、张垚采取出具警示函的行政监管措施，并记入证券期货市场诚信档案。</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2023年12月02日</w:t>
            </w:r>
          </w:p>
        </w:tc>
        <w:tc>
          <w:tcPr>
            <w:tcW w:w="109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《关于收到青岛证监局警示函的公告》（公告编号：2023-075）</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整改情况说明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rsidP="00C067EE">
      <w:pPr>
        <w:pStyle w:val="a3"/>
        <w:ind w:firstLineChars="200" w:firstLine="360"/>
        <w:divId w:val="1912034455"/>
        <w:rPr>
          <w:sz w:val="18"/>
          <w:szCs w:val="18"/>
        </w:rPr>
      </w:pPr>
      <w:r>
        <w:rPr>
          <w:rFonts w:hint="eastAsia"/>
          <w:sz w:val="18"/>
          <w:szCs w:val="18"/>
        </w:rPr>
        <w:t xml:space="preserve">公司及相关人员高度重视《警示函》指出的问题，将认真吸取教训并引以为戒，切实加强对相关法律法规及规范性文件的学习，不断提高公司规范运作水平及信息披露质量，维护公司及全体股东的利益。 </w:t>
      </w:r>
    </w:p>
    <w:p w:rsidR="00BA0365" w:rsidRDefault="008D4B2E">
      <w:pPr>
        <w:pStyle w:val="2"/>
        <w:spacing w:before="300" w:after="300" w:line="320" w:lineRule="exact"/>
        <w:rPr>
          <w:rFonts w:ascii="宋体" w:eastAsia="宋体" w:hAnsi="宋体" w:cs="宋体"/>
          <w:b/>
          <w:bCs/>
          <w:sz w:val="24"/>
          <w:szCs w:val="24"/>
        </w:rPr>
      </w:pPr>
      <w:bookmarkStart w:id="110" w:name="_Toc988999"/>
      <w:r>
        <w:rPr>
          <w:rFonts w:ascii="宋体" w:eastAsia="宋体" w:hAnsi="宋体" w:cs="宋体"/>
          <w:b/>
          <w:bCs/>
          <w:sz w:val="24"/>
          <w:szCs w:val="24"/>
        </w:rPr>
        <w:t>十三、公司及其控股股东、实际控制人的诚信状况</w:t>
      </w:r>
      <w:bookmarkEnd w:id="11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11" w:name="_Toc989000"/>
      <w:r>
        <w:rPr>
          <w:rFonts w:ascii="宋体" w:eastAsia="宋体" w:hAnsi="宋体" w:cs="宋体"/>
          <w:b/>
          <w:bCs/>
          <w:sz w:val="24"/>
          <w:szCs w:val="24"/>
        </w:rPr>
        <w:t>十四、重大关联交易</w:t>
      </w:r>
      <w:bookmarkEnd w:id="111"/>
    </w:p>
    <w:p w:rsidR="00BA0365" w:rsidRDefault="008D4B2E">
      <w:pPr>
        <w:pStyle w:val="3"/>
        <w:spacing w:line="280" w:lineRule="exact"/>
        <w:jc w:val="left"/>
        <w:rPr>
          <w:rFonts w:ascii="宋体" w:hAnsi="宋体" w:cs="宋体"/>
          <w:b/>
          <w:bCs/>
        </w:rPr>
      </w:pPr>
      <w:bookmarkStart w:id="112" w:name="_Toc989001"/>
      <w:r>
        <w:rPr>
          <w:rFonts w:ascii="宋体" w:hAnsi="宋体" w:cs="宋体"/>
          <w:b/>
          <w:bCs/>
        </w:rPr>
        <w:t>1、与日常经营相关的关联交易</w:t>
      </w:r>
      <w:bookmarkEnd w:id="112"/>
    </w:p>
    <w:p w:rsidR="00102670"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689"/>
        <w:gridCol w:w="689"/>
        <w:gridCol w:w="604"/>
        <w:gridCol w:w="774"/>
        <w:gridCol w:w="689"/>
        <w:gridCol w:w="689"/>
        <w:gridCol w:w="689"/>
        <w:gridCol w:w="688"/>
        <w:gridCol w:w="688"/>
        <w:gridCol w:w="461"/>
        <w:gridCol w:w="708"/>
        <w:gridCol w:w="709"/>
        <w:gridCol w:w="567"/>
        <w:gridCol w:w="995"/>
      </w:tblGrid>
      <w:tr w:rsidR="00157EA0" w:rsidTr="00102670">
        <w:trPr>
          <w:trHeight w:val="240"/>
        </w:trPr>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关联交易方</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关联关系</w:t>
            </w:r>
          </w:p>
        </w:tc>
        <w:tc>
          <w:tcPr>
            <w:tcW w:w="60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关联交易类型</w:t>
            </w:r>
          </w:p>
        </w:tc>
        <w:tc>
          <w:tcPr>
            <w:tcW w:w="77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关联交易定价原则</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关联交易价格</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关联交易金额（万元）</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占同类交易金额的比例</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获批的交易额度（万元）</w:t>
            </w:r>
          </w:p>
        </w:tc>
        <w:tc>
          <w:tcPr>
            <w:tcW w:w="46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是否超过获批额度</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关联交易结算方式</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可获得的同类交易市价</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披露日期</w:t>
            </w:r>
          </w:p>
        </w:tc>
        <w:tc>
          <w:tcPr>
            <w:tcW w:w="99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披露索引</w:t>
            </w:r>
          </w:p>
        </w:tc>
      </w:tr>
      <w:tr w:rsidR="00102670" w:rsidTr="00102670">
        <w:trPr>
          <w:trHeight w:val="240"/>
        </w:trPr>
        <w:tc>
          <w:tcPr>
            <w:tcW w:w="689" w:type="dxa"/>
            <w:vMerge w:val="restart"/>
            <w:tcBorders>
              <w:top w:val="single" w:sz="2" w:space="0" w:color="auto"/>
              <w:left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股份有限公司及其控股子公司</w:t>
            </w:r>
          </w:p>
          <w:p w:rsidR="00102670" w:rsidRDefault="00102670" w:rsidP="007E18D0">
            <w:pPr>
              <w:spacing w:line="240" w:lineRule="exact"/>
              <w:rPr>
                <w:rFonts w:ascii="宋体" w:eastAsia="宋体" w:hAnsi="宋体" w:cs="宋体"/>
                <w:sz w:val="18"/>
                <w:szCs w:val="18"/>
              </w:rPr>
            </w:pPr>
          </w:p>
        </w:tc>
        <w:tc>
          <w:tcPr>
            <w:tcW w:w="689"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公司实际控制人袁仲雪先生</w:t>
            </w:r>
            <w:proofErr w:type="gramStart"/>
            <w:r>
              <w:rPr>
                <w:rFonts w:ascii="宋体" w:eastAsia="宋体" w:hAnsi="宋体" w:cs="宋体"/>
                <w:sz w:val="18"/>
                <w:szCs w:val="18"/>
              </w:rPr>
              <w:t>担任赛轮集团</w:t>
            </w:r>
            <w:proofErr w:type="gramEnd"/>
            <w:r>
              <w:rPr>
                <w:rFonts w:ascii="宋体" w:eastAsia="宋体" w:hAnsi="宋体" w:cs="宋体"/>
                <w:sz w:val="18"/>
                <w:szCs w:val="18"/>
              </w:rPr>
              <w:t>股份有限</w:t>
            </w:r>
          </w:p>
        </w:tc>
        <w:tc>
          <w:tcPr>
            <w:tcW w:w="604" w:type="dxa"/>
            <w:vMerge w:val="restart"/>
            <w:tcBorders>
              <w:top w:val="single" w:sz="2" w:space="0" w:color="auto"/>
              <w:left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向关联人销售产品、商品</w:t>
            </w:r>
          </w:p>
          <w:p w:rsidR="00102670" w:rsidRDefault="00102670" w:rsidP="007E18D0">
            <w:pPr>
              <w:spacing w:line="240" w:lineRule="exact"/>
              <w:rPr>
                <w:rFonts w:ascii="宋体" w:eastAsia="宋体" w:hAnsi="宋体" w:cs="宋体"/>
                <w:sz w:val="18"/>
                <w:szCs w:val="18"/>
              </w:rPr>
            </w:pPr>
          </w:p>
        </w:tc>
        <w:tc>
          <w:tcPr>
            <w:tcW w:w="774"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设备、模具、软件、备件等</w:t>
            </w:r>
          </w:p>
        </w:tc>
        <w:tc>
          <w:tcPr>
            <w:tcW w:w="689" w:type="dxa"/>
            <w:vMerge w:val="restart"/>
            <w:tcBorders>
              <w:top w:val="single" w:sz="2" w:space="0" w:color="auto"/>
              <w:left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市场公允定价</w:t>
            </w:r>
          </w:p>
          <w:p w:rsidR="00102670" w:rsidRDefault="00102670" w:rsidP="007E18D0">
            <w:pPr>
              <w:spacing w:line="240" w:lineRule="exact"/>
              <w:rPr>
                <w:rFonts w:ascii="宋体" w:eastAsia="宋体" w:hAnsi="宋体" w:cs="宋体"/>
                <w:sz w:val="18"/>
                <w:szCs w:val="18"/>
              </w:rPr>
            </w:pPr>
          </w:p>
        </w:tc>
        <w:tc>
          <w:tcPr>
            <w:tcW w:w="689" w:type="dxa"/>
            <w:vMerge w:val="restart"/>
            <w:tcBorders>
              <w:top w:val="single" w:sz="2" w:space="0" w:color="auto"/>
              <w:left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市场价格</w:t>
            </w:r>
          </w:p>
          <w:p w:rsidR="00102670" w:rsidRDefault="00102670" w:rsidP="007E18D0">
            <w:pPr>
              <w:spacing w:line="240" w:lineRule="exac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74,893.05</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16.48%</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90,000</w:t>
            </w:r>
          </w:p>
        </w:tc>
        <w:tc>
          <w:tcPr>
            <w:tcW w:w="461"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否</w:t>
            </w:r>
          </w:p>
        </w:tc>
        <w:tc>
          <w:tcPr>
            <w:tcW w:w="708"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依照合同约定结算</w:t>
            </w:r>
          </w:p>
        </w:tc>
        <w:tc>
          <w:tcPr>
            <w:tcW w:w="709"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市场价格</w:t>
            </w:r>
          </w:p>
        </w:tc>
        <w:tc>
          <w:tcPr>
            <w:tcW w:w="567"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995" w:type="dxa"/>
            <w:vMerge w:val="restart"/>
            <w:tcBorders>
              <w:top w:val="single" w:sz="2" w:space="0" w:color="auto"/>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r>
              <w:rPr>
                <w:rFonts w:ascii="宋体" w:eastAsia="宋体" w:hAnsi="宋体" w:cs="宋体"/>
                <w:sz w:val="18"/>
                <w:szCs w:val="18"/>
              </w:rPr>
              <w:t>《关于日常关联交易预计的公告》（公告编号：2023-010）详见"巨潮资讯网"（www.cninfo.com.cn）</w:t>
            </w:r>
          </w:p>
        </w:tc>
      </w:tr>
      <w:tr w:rsidR="00102670" w:rsidTr="00102670">
        <w:trPr>
          <w:trHeight w:val="240"/>
        </w:trPr>
        <w:tc>
          <w:tcPr>
            <w:tcW w:w="689"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689"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604"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774"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合成橡胶</w:t>
            </w:r>
          </w:p>
        </w:tc>
        <w:tc>
          <w:tcPr>
            <w:tcW w:w="689"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689"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120,242.47</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67.05%</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120,000</w:t>
            </w:r>
          </w:p>
        </w:tc>
        <w:tc>
          <w:tcPr>
            <w:tcW w:w="461"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708"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709"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567"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c>
          <w:tcPr>
            <w:tcW w:w="995" w:type="dxa"/>
            <w:vMerge/>
            <w:tcBorders>
              <w:left w:val="single" w:sz="2" w:space="0" w:color="auto"/>
              <w:right w:val="single" w:sz="2" w:space="0" w:color="auto"/>
            </w:tcBorders>
            <w:vAlign w:val="center"/>
          </w:tcPr>
          <w:p w:rsidR="00102670" w:rsidRDefault="00102670" w:rsidP="007E18D0">
            <w:pPr>
              <w:spacing w:line="240" w:lineRule="exact"/>
              <w:rPr>
                <w:rFonts w:ascii="宋体" w:eastAsia="宋体" w:hAnsi="宋体" w:cs="宋体"/>
                <w:sz w:val="18"/>
                <w:szCs w:val="18"/>
              </w:rPr>
            </w:pPr>
          </w:p>
        </w:tc>
      </w:tr>
      <w:tr w:rsidR="00102670" w:rsidTr="00102670">
        <w:trPr>
          <w:trHeight w:val="240"/>
        </w:trPr>
        <w:tc>
          <w:tcPr>
            <w:tcW w:w="689"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689"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604"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774"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r>
              <w:rPr>
                <w:rFonts w:ascii="宋体" w:eastAsia="宋体" w:hAnsi="宋体" w:cs="宋体"/>
                <w:sz w:val="18"/>
                <w:szCs w:val="18"/>
              </w:rPr>
              <w:t>胶料、试剂助剂等</w:t>
            </w:r>
          </w:p>
        </w:tc>
        <w:tc>
          <w:tcPr>
            <w:tcW w:w="689"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689"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689"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1,778.2</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0.36%</w:t>
            </w:r>
          </w:p>
        </w:tc>
        <w:tc>
          <w:tcPr>
            <w:tcW w:w="688" w:type="dxa"/>
            <w:tcBorders>
              <w:top w:val="single" w:sz="2" w:space="0" w:color="auto"/>
              <w:left w:val="single" w:sz="2" w:space="0" w:color="auto"/>
              <w:bottom w:val="single" w:sz="2" w:space="0" w:color="auto"/>
              <w:right w:val="single" w:sz="2" w:space="0" w:color="auto"/>
            </w:tcBorders>
            <w:vAlign w:val="center"/>
          </w:tcPr>
          <w:p w:rsidR="00102670" w:rsidRDefault="00102670">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461"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708"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709"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567"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c>
          <w:tcPr>
            <w:tcW w:w="995" w:type="dxa"/>
            <w:vMerge/>
            <w:tcBorders>
              <w:left w:val="single" w:sz="2" w:space="0" w:color="auto"/>
              <w:bottom w:val="single" w:sz="2" w:space="0" w:color="auto"/>
              <w:right w:val="single" w:sz="2" w:space="0" w:color="auto"/>
            </w:tcBorders>
            <w:vAlign w:val="center"/>
          </w:tcPr>
          <w:p w:rsidR="00102670" w:rsidRDefault="00102670">
            <w:pPr>
              <w:spacing w:line="240" w:lineRule="exact"/>
              <w:rPr>
                <w:rFonts w:ascii="宋体" w:eastAsia="宋体" w:hAnsi="宋体" w:cs="宋体"/>
                <w:sz w:val="18"/>
                <w:szCs w:val="18"/>
              </w:rPr>
            </w:pPr>
          </w:p>
        </w:tc>
      </w:tr>
      <w:tr w:rsidR="00157EA0" w:rsidTr="00102670">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196,913.72</w:t>
            </w:r>
          </w:p>
        </w:tc>
        <w:tc>
          <w:tcPr>
            <w:tcW w:w="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68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212,400</w:t>
            </w:r>
          </w:p>
        </w:tc>
        <w:tc>
          <w:tcPr>
            <w:tcW w:w="46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99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157EA0" w:rsidTr="006C5451">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大额销货退回的详细情况</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rsidTr="006C5451">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按类别对本期将发生的日常关联交易进行总金额预计的，在报告期内的实际履行情况（如有）</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与关联方的2023年度关联交易预计是业务部门基于当时的业务开展情况、产销计划、市场需求和价格进行评估和测算后的初步判断，本年度日常关联交易实际发生额在日常关联交易预计的审批范围内，但因实际市场情况与客户要求变化等影响，公司关联交易预计个别业务分类与实际发生情况存在差异，属于正常的经营行为。</w:t>
            </w:r>
          </w:p>
        </w:tc>
      </w:tr>
      <w:tr w:rsidR="00157EA0" w:rsidTr="006C5451">
        <w:trPr>
          <w:trHeight w:val="240"/>
        </w:trPr>
        <w:tc>
          <w:tcPr>
            <w:tcW w:w="275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交易价格与市场参考价格差异较大的原因（如适用）</w:t>
            </w:r>
          </w:p>
        </w:tc>
        <w:tc>
          <w:tcPr>
            <w:tcW w:w="6883" w:type="dxa"/>
            <w:gridSpan w:val="10"/>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bl>
    <w:p w:rsidR="00BA0365" w:rsidRDefault="008D4B2E">
      <w:pPr>
        <w:pStyle w:val="3"/>
        <w:spacing w:line="280" w:lineRule="exact"/>
        <w:jc w:val="left"/>
        <w:rPr>
          <w:rFonts w:ascii="宋体" w:hAnsi="宋体" w:cs="宋体"/>
          <w:b/>
          <w:bCs/>
        </w:rPr>
      </w:pPr>
      <w:bookmarkStart w:id="113" w:name="_Toc989002"/>
      <w:r>
        <w:rPr>
          <w:rFonts w:ascii="宋体" w:hAnsi="宋体" w:cs="宋体"/>
          <w:b/>
          <w:bCs/>
        </w:rPr>
        <w:t>2、资产或股权收购、出售发生的关联交易</w:t>
      </w:r>
      <w:bookmarkEnd w:id="11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公司报告期未发生资产或股权收购、出售的关联交易。</w:t>
      </w:r>
    </w:p>
    <w:p w:rsidR="00BA0365" w:rsidRDefault="008D4B2E">
      <w:pPr>
        <w:pStyle w:val="3"/>
        <w:spacing w:line="280" w:lineRule="exact"/>
        <w:jc w:val="left"/>
        <w:rPr>
          <w:rFonts w:ascii="宋体" w:hAnsi="宋体" w:cs="宋体"/>
          <w:b/>
          <w:bCs/>
        </w:rPr>
      </w:pPr>
      <w:bookmarkStart w:id="114" w:name="_Toc989003"/>
      <w:r>
        <w:rPr>
          <w:rFonts w:ascii="宋体" w:hAnsi="宋体" w:cs="宋体"/>
          <w:b/>
          <w:bCs/>
        </w:rPr>
        <w:t>3、共同对外投资的关联交易</w:t>
      </w:r>
      <w:bookmarkEnd w:id="11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公司报告期未发生共同对外投资的关联交易。</w:t>
      </w:r>
    </w:p>
    <w:p w:rsidR="00BA0365" w:rsidRDefault="008D4B2E">
      <w:pPr>
        <w:pStyle w:val="3"/>
        <w:spacing w:line="280" w:lineRule="exact"/>
        <w:jc w:val="left"/>
        <w:rPr>
          <w:rFonts w:ascii="宋体" w:hAnsi="宋体" w:cs="宋体"/>
          <w:b/>
          <w:bCs/>
        </w:rPr>
      </w:pPr>
      <w:bookmarkStart w:id="115" w:name="_Toc989004"/>
      <w:r>
        <w:rPr>
          <w:rFonts w:ascii="宋体" w:hAnsi="宋体" w:cs="宋体"/>
          <w:b/>
          <w:bCs/>
        </w:rPr>
        <w:t>4、关联债权债务往来</w:t>
      </w:r>
      <w:bookmarkEnd w:id="11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公司报告期不存在关联债权债务往来。</w:t>
      </w:r>
    </w:p>
    <w:p w:rsidR="00BA0365" w:rsidRDefault="008D4B2E">
      <w:pPr>
        <w:pStyle w:val="3"/>
        <w:spacing w:line="280" w:lineRule="exact"/>
        <w:jc w:val="left"/>
        <w:rPr>
          <w:rFonts w:ascii="宋体" w:hAnsi="宋体" w:cs="宋体"/>
          <w:b/>
          <w:bCs/>
        </w:rPr>
      </w:pPr>
      <w:bookmarkStart w:id="116" w:name="_Toc989005"/>
      <w:r>
        <w:rPr>
          <w:rFonts w:ascii="宋体" w:hAnsi="宋体" w:cs="宋体"/>
          <w:b/>
          <w:bCs/>
        </w:rPr>
        <w:t>5、与存在关联关系的财务公司的往来情况</w:t>
      </w:r>
      <w:bookmarkEnd w:id="11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公司与存在关联关系的财务公司与关联方之间不存在存款、贷款、授信或其他金融业务。</w:t>
      </w:r>
    </w:p>
    <w:p w:rsidR="00BA0365" w:rsidRDefault="008D4B2E">
      <w:pPr>
        <w:pStyle w:val="3"/>
        <w:spacing w:line="280" w:lineRule="exact"/>
        <w:jc w:val="left"/>
        <w:rPr>
          <w:rFonts w:ascii="宋体" w:hAnsi="宋体" w:cs="宋体"/>
          <w:b/>
          <w:bCs/>
        </w:rPr>
      </w:pPr>
      <w:bookmarkStart w:id="117" w:name="_Toc989006"/>
      <w:r>
        <w:rPr>
          <w:rFonts w:ascii="宋体" w:hAnsi="宋体" w:cs="宋体"/>
          <w:b/>
          <w:bCs/>
        </w:rPr>
        <w:t>6、公司控股的财务公司与关联方的往来情况</w:t>
      </w:r>
      <w:bookmarkEnd w:id="11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公司控股的财务公司与关联方之间不存在存款、贷款、授信或其他金融业务。</w:t>
      </w:r>
    </w:p>
    <w:p w:rsidR="00BA0365" w:rsidRDefault="008D4B2E">
      <w:pPr>
        <w:pStyle w:val="3"/>
        <w:spacing w:line="280" w:lineRule="exact"/>
        <w:jc w:val="left"/>
        <w:rPr>
          <w:rFonts w:ascii="宋体" w:hAnsi="宋体" w:cs="宋体"/>
          <w:b/>
          <w:bCs/>
        </w:rPr>
      </w:pPr>
      <w:bookmarkStart w:id="118" w:name="_Toc989007"/>
      <w:r>
        <w:rPr>
          <w:rFonts w:ascii="宋体" w:hAnsi="宋体" w:cs="宋体"/>
          <w:b/>
          <w:bCs/>
        </w:rPr>
        <w:t>7、其他重大关联交易</w:t>
      </w:r>
      <w:bookmarkEnd w:id="11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公司报告期无其他重大关联交易。</w:t>
      </w:r>
    </w:p>
    <w:p w:rsidR="00BA0365" w:rsidRDefault="008D4B2E">
      <w:pPr>
        <w:pStyle w:val="2"/>
        <w:spacing w:before="300" w:after="300" w:line="320" w:lineRule="exact"/>
        <w:rPr>
          <w:rFonts w:ascii="宋体" w:eastAsia="宋体" w:hAnsi="宋体" w:cs="宋体"/>
          <w:b/>
          <w:bCs/>
          <w:sz w:val="24"/>
          <w:szCs w:val="24"/>
        </w:rPr>
      </w:pPr>
      <w:bookmarkStart w:id="119" w:name="_Toc989008"/>
      <w:r>
        <w:rPr>
          <w:rFonts w:ascii="宋体" w:eastAsia="宋体" w:hAnsi="宋体" w:cs="宋体"/>
          <w:b/>
          <w:bCs/>
          <w:sz w:val="24"/>
          <w:szCs w:val="24"/>
        </w:rPr>
        <w:t>十五、重大合同及其履行情况</w:t>
      </w:r>
      <w:bookmarkEnd w:id="119"/>
    </w:p>
    <w:p w:rsidR="00BA0365" w:rsidRDefault="008D4B2E">
      <w:pPr>
        <w:pStyle w:val="3"/>
        <w:spacing w:line="280" w:lineRule="exact"/>
        <w:jc w:val="left"/>
        <w:rPr>
          <w:rFonts w:ascii="宋体" w:hAnsi="宋体" w:cs="宋体"/>
          <w:b/>
          <w:bCs/>
        </w:rPr>
      </w:pPr>
      <w:bookmarkStart w:id="120" w:name="_Toc989009"/>
      <w:r>
        <w:rPr>
          <w:rFonts w:ascii="宋体" w:hAnsi="宋体" w:cs="宋体"/>
          <w:b/>
          <w:bCs/>
        </w:rPr>
        <w:t>1、托管、承包、租赁事项情况</w:t>
      </w:r>
      <w:bookmarkEnd w:id="120"/>
    </w:p>
    <w:p w:rsidR="00BA0365" w:rsidRDefault="008D4B2E">
      <w:pPr>
        <w:keepNext/>
        <w:keepLines/>
        <w:spacing w:before="300" w:after="300" w:line="280" w:lineRule="exact"/>
        <w:outlineLvl w:val="3"/>
        <w:rPr>
          <w:rFonts w:ascii="宋体" w:eastAsia="宋体" w:hAnsi="宋体" w:cs="宋体"/>
          <w:b/>
          <w:bCs/>
          <w:sz w:val="18"/>
          <w:szCs w:val="18"/>
        </w:rPr>
      </w:pPr>
      <w:bookmarkStart w:id="121" w:name="_Toc989010"/>
      <w:r>
        <w:rPr>
          <w:rFonts w:ascii="宋体" w:eastAsia="宋体" w:hAnsi="宋体" w:cs="宋体"/>
          <w:b/>
          <w:bCs/>
          <w:sz w:val="18"/>
          <w:szCs w:val="18"/>
        </w:rPr>
        <w:t>（1） 托管情况</w:t>
      </w:r>
      <w:bookmarkEnd w:id="12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公司报告期不存在托管情况。</w:t>
      </w:r>
    </w:p>
    <w:p w:rsidR="00BA0365" w:rsidRDefault="008D4B2E">
      <w:pPr>
        <w:keepNext/>
        <w:keepLines/>
        <w:spacing w:before="300" w:after="300" w:line="280" w:lineRule="exact"/>
        <w:outlineLvl w:val="3"/>
        <w:rPr>
          <w:rFonts w:ascii="宋体" w:eastAsia="宋体" w:hAnsi="宋体" w:cs="宋体"/>
          <w:b/>
          <w:bCs/>
          <w:sz w:val="18"/>
          <w:szCs w:val="18"/>
        </w:rPr>
      </w:pPr>
      <w:bookmarkStart w:id="122" w:name="_Toc989011"/>
      <w:r>
        <w:rPr>
          <w:rFonts w:ascii="宋体" w:eastAsia="宋体" w:hAnsi="宋体" w:cs="宋体"/>
          <w:b/>
          <w:bCs/>
          <w:sz w:val="18"/>
          <w:szCs w:val="18"/>
        </w:rPr>
        <w:lastRenderedPageBreak/>
        <w:t>（2） 承包情况</w:t>
      </w:r>
      <w:bookmarkEnd w:id="12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公司报告期不存在承包情况。</w:t>
      </w:r>
    </w:p>
    <w:p w:rsidR="00BA0365" w:rsidRDefault="008D4B2E">
      <w:pPr>
        <w:keepNext/>
        <w:keepLines/>
        <w:spacing w:before="300" w:after="300" w:line="280" w:lineRule="exact"/>
        <w:outlineLvl w:val="3"/>
        <w:rPr>
          <w:rFonts w:ascii="宋体" w:eastAsia="宋体" w:hAnsi="宋体" w:cs="宋体"/>
          <w:b/>
          <w:bCs/>
          <w:sz w:val="18"/>
          <w:szCs w:val="18"/>
        </w:rPr>
      </w:pPr>
      <w:bookmarkStart w:id="123" w:name="_Toc989012"/>
      <w:r>
        <w:rPr>
          <w:rFonts w:ascii="宋体" w:eastAsia="宋体" w:hAnsi="宋体" w:cs="宋体"/>
          <w:b/>
          <w:bCs/>
          <w:sz w:val="18"/>
          <w:szCs w:val="18"/>
        </w:rPr>
        <w:t>（3） 租赁情况</w:t>
      </w:r>
      <w:bookmarkEnd w:id="12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公司报告期不存在租赁情况。</w:t>
      </w:r>
    </w:p>
    <w:p w:rsidR="00BA0365" w:rsidRDefault="008D4B2E">
      <w:pPr>
        <w:pStyle w:val="3"/>
        <w:spacing w:line="280" w:lineRule="exact"/>
        <w:jc w:val="left"/>
        <w:rPr>
          <w:rFonts w:ascii="宋体" w:hAnsi="宋体" w:cs="宋体"/>
          <w:b/>
          <w:bCs/>
        </w:rPr>
      </w:pPr>
      <w:bookmarkStart w:id="124" w:name="_Toc989013"/>
      <w:r>
        <w:rPr>
          <w:rFonts w:ascii="宋体" w:hAnsi="宋体" w:cs="宋体"/>
          <w:b/>
          <w:bCs/>
        </w:rPr>
        <w:t>2、重大担保</w:t>
      </w:r>
      <w:bookmarkEnd w:id="12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Layout w:type="fixed"/>
        <w:tblLook w:val="04A0" w:firstRow="1" w:lastRow="0" w:firstColumn="1" w:lastColumn="0" w:noHBand="0" w:noVBand="1"/>
      </w:tblPr>
      <w:tblGrid>
        <w:gridCol w:w="875"/>
        <w:gridCol w:w="877"/>
        <w:gridCol w:w="876"/>
        <w:gridCol w:w="877"/>
        <w:gridCol w:w="876"/>
        <w:gridCol w:w="877"/>
        <w:gridCol w:w="876"/>
        <w:gridCol w:w="876"/>
        <w:gridCol w:w="876"/>
        <w:gridCol w:w="876"/>
        <w:gridCol w:w="877"/>
      </w:tblGrid>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公司及其子公司对外担保情况（不包括对子公司的担保）</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公司对子公司的担保情况</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3,651.36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2022年01月13日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2022年03月02日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1,003.8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28个月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2022年03月25日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2022年04月13日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2022年06月28日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2022年08月15日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2022年08月18日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2022年08月19日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202.53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2022年08月23日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384.71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2022年08月26日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289.85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2022年09月05日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981.15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2022年09月08日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218.85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2022年10月20日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w:t>
            </w:r>
            <w:r>
              <w:rPr>
                <w:rFonts w:ascii="宋体" w:eastAsia="宋体" w:hAnsi="宋体" w:cs="宋体"/>
                <w:sz w:val="18"/>
                <w:szCs w:val="18"/>
              </w:rPr>
              <w:lastRenderedPageBreak/>
              <w:t>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2022年</w:t>
            </w:r>
            <w:r>
              <w:rPr>
                <w:rFonts w:ascii="宋体" w:eastAsia="宋体" w:hAnsi="宋体" w:cs="宋体"/>
                <w:sz w:val="18"/>
                <w:szCs w:val="18"/>
              </w:rPr>
              <w:lastRenderedPageBreak/>
              <w:t>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w:t>
            </w:r>
            <w:r>
              <w:rPr>
                <w:rFonts w:ascii="宋体" w:eastAsia="宋体" w:hAnsi="宋体" w:cs="宋体"/>
                <w:sz w:val="18"/>
                <w:szCs w:val="18"/>
              </w:rPr>
              <w:lastRenderedPageBreak/>
              <w:t>11月11日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w:t>
            </w:r>
            <w:r>
              <w:rPr>
                <w:rFonts w:ascii="宋体" w:eastAsia="宋体" w:hAnsi="宋体" w:cs="宋体"/>
                <w:sz w:val="18"/>
                <w:szCs w:val="18"/>
              </w:rPr>
              <w:lastRenderedPageBreak/>
              <w:t>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2022年11月14日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2023年01月01日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8个月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2023年01月01日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2023年02月20日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2023年03月29日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2023年06月06日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2023年07月01日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147.49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2023年07月26日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218.18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67.32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2023年08月22日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2023年09月07日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2023年10月07日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393.76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w:t>
            </w:r>
            <w:r>
              <w:rPr>
                <w:rFonts w:ascii="宋体" w:eastAsia="宋体" w:hAnsi="宋体" w:cs="宋体"/>
                <w:sz w:val="18"/>
                <w:szCs w:val="18"/>
              </w:rPr>
              <w:lastRenderedPageBreak/>
              <w:t>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2022年05月27</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2023年12月14</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2,066.4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2,210.4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3,163.8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526.2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551.07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529.71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846.42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18个月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2022年02月15日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186.64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2021年05月20日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818,513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2022年04月22日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1,255.57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w:t>
            </w:r>
            <w:r>
              <w:rPr>
                <w:rFonts w:ascii="宋体" w:eastAsia="宋体" w:hAnsi="宋体" w:cs="宋体"/>
                <w:sz w:val="18"/>
                <w:szCs w:val="18"/>
              </w:rPr>
              <w:lastRenderedPageBreak/>
              <w:t>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2022年05月31日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318.27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2022年09月07日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202.68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2022年10月06日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493.84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2022年11月16日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175.08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2023年02月03日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182.08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2023年02月10日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527.8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2023年02月10日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188.81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2023年04月25日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582.84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2023年11月03日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796.61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2023年12月04日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1,448.83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2023年12月11日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153.29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2023年12月15日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312.72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810.23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浙江软控智能科技股份有限公司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2023年11月24日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2020年12月31日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49,615.61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132个月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2022年04月02日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2,221.97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2020年06月30日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2022年05月18日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949.5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108个月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2022年05月31日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561.59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107个月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2022年06月27日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667.27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2022年07月27日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818.29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106个月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2022年07月29日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1,217.14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2022年08月25日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649.49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w:t>
            </w:r>
            <w:r>
              <w:rPr>
                <w:rFonts w:ascii="宋体" w:eastAsia="宋体" w:hAnsi="宋体" w:cs="宋体"/>
                <w:sz w:val="18"/>
                <w:szCs w:val="18"/>
              </w:rPr>
              <w:lastRenderedPageBreak/>
              <w:t>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2022年</w:t>
            </w:r>
            <w:r>
              <w:rPr>
                <w:rFonts w:ascii="宋体" w:eastAsia="宋体" w:hAnsi="宋体" w:cs="宋体"/>
                <w:sz w:val="18"/>
                <w:szCs w:val="18"/>
              </w:rPr>
              <w:lastRenderedPageBreak/>
              <w:t>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w:t>
            </w:r>
            <w:r>
              <w:rPr>
                <w:rFonts w:ascii="宋体" w:eastAsia="宋体" w:hAnsi="宋体" w:cs="宋体"/>
                <w:sz w:val="18"/>
                <w:szCs w:val="18"/>
              </w:rPr>
              <w:lastRenderedPageBreak/>
              <w:t>08月25日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664.71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w:t>
            </w:r>
            <w:r>
              <w:rPr>
                <w:rFonts w:ascii="宋体" w:eastAsia="宋体" w:hAnsi="宋体" w:cs="宋体"/>
                <w:sz w:val="18"/>
                <w:szCs w:val="18"/>
              </w:rPr>
              <w:lastRenderedPageBreak/>
              <w:t>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是</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1,543.8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2022年09月29日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982.66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2022年10月28日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1,188.01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25个月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2022年11月02日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928.43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103个月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2022年11月29日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2,111.85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845.6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78个月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2022年11月30日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1,046.22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2022年12月02日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1,613.69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101个月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2022年05月27日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2023年02月24日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2023年06月13日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24个月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2023年05月08日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2023年06月19日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报告期内审批对子公司担保额度合计（B1）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775,040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报告期内对子公司担保实际发生额合计（B2）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84,742</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w:t>
            </w:r>
            <w:proofErr w:type="gramStart"/>
            <w:r>
              <w:rPr>
                <w:rFonts w:ascii="宋体" w:eastAsia="宋体" w:hAnsi="宋体" w:cs="宋体"/>
                <w:sz w:val="18"/>
                <w:szCs w:val="18"/>
              </w:rPr>
              <w:t>期末已</w:t>
            </w:r>
            <w:proofErr w:type="gramEnd"/>
            <w:r>
              <w:rPr>
                <w:rFonts w:ascii="宋体" w:eastAsia="宋体" w:hAnsi="宋体" w:cs="宋体"/>
                <w:sz w:val="18"/>
                <w:szCs w:val="18"/>
              </w:rPr>
              <w:t>审批的对子公司担保额度合计（B3）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2,383,544</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w:t>
            </w:r>
            <w:proofErr w:type="gramStart"/>
            <w:r>
              <w:rPr>
                <w:rFonts w:ascii="宋体" w:eastAsia="宋体" w:hAnsi="宋体" w:cs="宋体"/>
                <w:sz w:val="18"/>
                <w:szCs w:val="18"/>
              </w:rPr>
              <w:t>期末对</w:t>
            </w:r>
            <w:proofErr w:type="gramEnd"/>
            <w:r>
              <w:rPr>
                <w:rFonts w:ascii="宋体" w:eastAsia="宋体" w:hAnsi="宋体" w:cs="宋体"/>
                <w:sz w:val="18"/>
                <w:szCs w:val="18"/>
              </w:rPr>
              <w:t>子公司实际担保余额合计（B4）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155,141.33</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子公司对子公司的担保情况</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担保对象名称</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担保额度相关公告披露日期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担保额度</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实际发生日期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实际担保金额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担保类型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担保物（如有）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反担保情况（如有）</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担保期</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是否履行完毕</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是否为关联方担保</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2023年09月26日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1,127.25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2023年09月28日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677.98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w:t>
            </w:r>
            <w:r>
              <w:rPr>
                <w:rFonts w:ascii="宋体" w:eastAsia="宋体" w:hAnsi="宋体" w:cs="宋体"/>
                <w:sz w:val="18"/>
                <w:szCs w:val="18"/>
              </w:rPr>
              <w:lastRenderedPageBreak/>
              <w:t>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2023年04月12</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2023年10月17</w:t>
            </w:r>
            <w:r>
              <w:rPr>
                <w:rFonts w:ascii="宋体" w:eastAsia="宋体" w:hAnsi="宋体" w:cs="宋体"/>
                <w:sz w:val="18"/>
                <w:szCs w:val="18"/>
              </w:rPr>
              <w:lastRenderedPageBreak/>
              <w:t>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1,860.51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72个月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2023年11月02日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380.85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2023年11月15日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1,015.25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71个月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2023年11月29日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400.28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70个月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2023年12月26日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1,170.11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盘锦伊科思新材料有限公司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2023年04月12日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2023年12月27日</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连带责任保证</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69个月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报告期内审批对子公司担保额度合计（C1）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报告期内对子公司担保实际发生额合计（C2）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8,224.28</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w:t>
            </w:r>
            <w:proofErr w:type="gramStart"/>
            <w:r>
              <w:rPr>
                <w:rFonts w:ascii="宋体" w:eastAsia="宋体" w:hAnsi="宋体" w:cs="宋体"/>
                <w:sz w:val="18"/>
                <w:szCs w:val="18"/>
              </w:rPr>
              <w:t>期末已</w:t>
            </w:r>
            <w:proofErr w:type="gramEnd"/>
            <w:r>
              <w:rPr>
                <w:rFonts w:ascii="宋体" w:eastAsia="宋体" w:hAnsi="宋体" w:cs="宋体"/>
                <w:sz w:val="18"/>
                <w:szCs w:val="18"/>
              </w:rPr>
              <w:t>审批的对子公司担保额度合计（C3）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w:t>
            </w:r>
            <w:proofErr w:type="gramStart"/>
            <w:r>
              <w:rPr>
                <w:rFonts w:ascii="宋体" w:eastAsia="宋体" w:hAnsi="宋体" w:cs="宋体"/>
                <w:sz w:val="18"/>
                <w:szCs w:val="18"/>
              </w:rPr>
              <w:t>期末对</w:t>
            </w:r>
            <w:proofErr w:type="gramEnd"/>
            <w:r>
              <w:rPr>
                <w:rFonts w:ascii="宋体" w:eastAsia="宋体" w:hAnsi="宋体" w:cs="宋体"/>
                <w:sz w:val="18"/>
                <w:szCs w:val="18"/>
              </w:rPr>
              <w:t>子公司实际担保余额合计（C4）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8,224.28</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公司担保总额（即前三大项的合计）</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报告期内审批担保额度合计（A1+B1+C1）</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815,040</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报告期内担保实际发生额合计（A2+B2+C2）</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92,966.28</w:t>
            </w:r>
          </w:p>
        </w:tc>
      </w:tr>
      <w:tr w:rsidR="00157EA0">
        <w:trPr>
          <w:trHeight w:val="240"/>
        </w:trPr>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w:t>
            </w:r>
            <w:proofErr w:type="gramStart"/>
            <w:r>
              <w:rPr>
                <w:rFonts w:ascii="宋体" w:eastAsia="宋体" w:hAnsi="宋体" w:cs="宋体"/>
                <w:sz w:val="18"/>
                <w:szCs w:val="18"/>
              </w:rPr>
              <w:t>期末已</w:t>
            </w:r>
            <w:proofErr w:type="gramEnd"/>
            <w:r>
              <w:rPr>
                <w:rFonts w:ascii="宋体" w:eastAsia="宋体" w:hAnsi="宋体" w:cs="宋体"/>
                <w:sz w:val="18"/>
                <w:szCs w:val="18"/>
              </w:rPr>
              <w:t>审批的担保额度合计（A3+B3+C3）</w:t>
            </w:r>
          </w:p>
        </w:tc>
        <w:tc>
          <w:tcPr>
            <w:tcW w:w="175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2,423,544</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报告期末实际担保余额合计（A4+B4+C4）</w:t>
            </w:r>
          </w:p>
        </w:tc>
        <w:tc>
          <w:tcPr>
            <w:tcW w:w="4381" w:type="dxa"/>
            <w:gridSpan w:val="5"/>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163,365.61</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实际担保总额（即A4+B4+C4）占公司净资产的比例</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30.89%</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为股东、实际控制人及其关联方提供担保的余额（D）</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直接或间接为资产负债率超过70%的被担保对象提供的债务担保余额（E）</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155,141.33</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担保总额超过净资产50%部分的金额（F）</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上述三项担保金额合计（D+E+F）</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155,141.33</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对未到期担保合同，报告期内发生担保责任或有证据表明有可能承担连带清偿责任的情况说明（如有）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不适用</w:t>
            </w:r>
          </w:p>
        </w:tc>
      </w:tr>
      <w:tr w:rsidR="00157EA0">
        <w:trPr>
          <w:trHeight w:val="240"/>
        </w:trPr>
        <w:tc>
          <w:tcPr>
            <w:tcW w:w="3505"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违反规定程序对外提供担保的说明（如有）</w:t>
            </w:r>
          </w:p>
        </w:tc>
        <w:tc>
          <w:tcPr>
            <w:tcW w:w="6134"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rsidP="00C067EE">
            <w:pPr>
              <w:spacing w:line="240" w:lineRule="exact"/>
              <w:jc w:val="right"/>
              <w:rPr>
                <w:rFonts w:ascii="宋体" w:eastAsia="宋体" w:hAnsi="宋体" w:cs="宋体"/>
                <w:sz w:val="18"/>
                <w:szCs w:val="18"/>
              </w:rPr>
            </w:pPr>
            <w:r>
              <w:rPr>
                <w:rFonts w:ascii="宋体" w:eastAsia="宋体" w:hAnsi="宋体" w:cs="宋体"/>
                <w:sz w:val="18"/>
                <w:szCs w:val="18"/>
              </w:rPr>
              <w:t>不适用</w:t>
            </w:r>
          </w:p>
        </w:tc>
      </w:tr>
    </w:tbl>
    <w:p w:rsidR="008D4B2E" w:rsidRPr="00102670" w:rsidRDefault="008D4B2E" w:rsidP="00102670">
      <w:pPr>
        <w:spacing w:before="100" w:after="100" w:line="240" w:lineRule="exact"/>
        <w:rPr>
          <w:rFonts w:ascii="宋体" w:eastAsia="宋体" w:hAnsi="宋体" w:cs="宋体"/>
          <w:sz w:val="18"/>
          <w:szCs w:val="18"/>
        </w:rPr>
      </w:pPr>
      <w:r>
        <w:rPr>
          <w:rFonts w:ascii="宋体" w:eastAsia="宋体" w:hAnsi="宋体" w:cs="宋体"/>
          <w:sz w:val="18"/>
          <w:szCs w:val="18"/>
        </w:rPr>
        <w:t>采用复合方式担保的具体情况说明</w:t>
      </w:r>
      <w:r w:rsidR="00102670">
        <w:rPr>
          <w:rFonts w:ascii="宋体" w:eastAsia="宋体" w:hAnsi="宋体" w:cs="宋体"/>
          <w:sz w:val="18"/>
          <w:szCs w:val="18"/>
        </w:rPr>
        <w:t>：</w:t>
      </w:r>
      <w:r>
        <w:rPr>
          <w:rFonts w:hint="eastAsia"/>
          <w:sz w:val="18"/>
          <w:szCs w:val="18"/>
        </w:rPr>
        <w:t>不适用</w:t>
      </w:r>
    </w:p>
    <w:p w:rsidR="00BA0365" w:rsidRDefault="008D4B2E">
      <w:pPr>
        <w:pStyle w:val="3"/>
        <w:spacing w:line="280" w:lineRule="exact"/>
        <w:jc w:val="left"/>
        <w:rPr>
          <w:rFonts w:ascii="宋体" w:hAnsi="宋体" w:cs="宋体"/>
          <w:b/>
          <w:bCs/>
        </w:rPr>
      </w:pPr>
      <w:bookmarkStart w:id="125" w:name="_Toc989014"/>
      <w:r>
        <w:rPr>
          <w:rFonts w:ascii="宋体" w:hAnsi="宋体" w:cs="宋体"/>
          <w:b/>
          <w:bCs/>
        </w:rPr>
        <w:lastRenderedPageBreak/>
        <w:t>3、委托他人进行现金资产管理情况</w:t>
      </w:r>
      <w:bookmarkEnd w:id="125"/>
    </w:p>
    <w:p w:rsidR="00BA0365" w:rsidRDefault="008D4B2E">
      <w:pPr>
        <w:keepNext/>
        <w:keepLines/>
        <w:spacing w:before="300" w:after="300" w:line="280" w:lineRule="exact"/>
        <w:outlineLvl w:val="3"/>
        <w:rPr>
          <w:rFonts w:ascii="宋体" w:eastAsia="宋体" w:hAnsi="宋体" w:cs="宋体"/>
          <w:b/>
          <w:bCs/>
          <w:sz w:val="18"/>
          <w:szCs w:val="18"/>
        </w:rPr>
      </w:pPr>
      <w:bookmarkStart w:id="126" w:name="_Toc989015"/>
      <w:r>
        <w:rPr>
          <w:rFonts w:ascii="宋体" w:eastAsia="宋体" w:hAnsi="宋体" w:cs="宋体"/>
          <w:b/>
          <w:bCs/>
          <w:sz w:val="18"/>
          <w:szCs w:val="18"/>
        </w:rPr>
        <w:t>（1） 委托理财情况</w:t>
      </w:r>
      <w:bookmarkEnd w:id="12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报告期内委托理财概况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单位：万元</w:t>
      </w:r>
    </w:p>
    <w:tbl>
      <w:tblPr>
        <w:tblW w:w="9639" w:type="dxa"/>
        <w:tblLayout w:type="fixed"/>
        <w:tblLook w:val="04A0" w:firstRow="1" w:lastRow="0" w:firstColumn="1" w:lastColumn="0" w:noHBand="0" w:noVBand="1"/>
      </w:tblPr>
      <w:tblGrid>
        <w:gridCol w:w="1607"/>
        <w:gridCol w:w="1608"/>
        <w:gridCol w:w="1606"/>
        <w:gridCol w:w="1606"/>
        <w:gridCol w:w="1606"/>
        <w:gridCol w:w="1606"/>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具体类型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委托理财的资金来源</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委托理财发生额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未到期余额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逾期未收回的金额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逾期未收回理财已计提减值金额</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募集资金</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自有资金</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321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156,000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单项金额重大或安全性较低、流动性较差的高风险委托理财具体情况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委托理财出现预期无法收回本金或存在其他可能导致减值的情形</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127" w:name="_Toc989016"/>
      <w:r>
        <w:rPr>
          <w:rFonts w:ascii="宋体" w:eastAsia="宋体" w:hAnsi="宋体" w:cs="宋体"/>
          <w:b/>
          <w:bCs/>
          <w:sz w:val="18"/>
          <w:szCs w:val="18"/>
        </w:rPr>
        <w:t>（2） 委托贷款情况</w:t>
      </w:r>
      <w:bookmarkEnd w:id="12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公司报告期不存在委托贷款。</w:t>
      </w:r>
    </w:p>
    <w:p w:rsidR="00BA0365" w:rsidRDefault="008D4B2E">
      <w:pPr>
        <w:pStyle w:val="3"/>
        <w:spacing w:line="280" w:lineRule="exact"/>
        <w:jc w:val="left"/>
        <w:rPr>
          <w:rFonts w:ascii="宋体" w:hAnsi="宋体" w:cs="宋体"/>
          <w:b/>
          <w:bCs/>
        </w:rPr>
      </w:pPr>
      <w:bookmarkStart w:id="128" w:name="_Toc989017"/>
      <w:r>
        <w:rPr>
          <w:rFonts w:ascii="宋体" w:hAnsi="宋体" w:cs="宋体"/>
          <w:b/>
          <w:bCs/>
        </w:rPr>
        <w:t>4、其他重大合同</w:t>
      </w:r>
      <w:bookmarkEnd w:id="12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公司报告期不存在其他重大合同。</w:t>
      </w:r>
    </w:p>
    <w:p w:rsidR="00BA0365" w:rsidRDefault="008D4B2E">
      <w:pPr>
        <w:pStyle w:val="2"/>
        <w:spacing w:before="300" w:after="300" w:line="320" w:lineRule="exact"/>
        <w:rPr>
          <w:rFonts w:ascii="宋体" w:eastAsia="宋体" w:hAnsi="宋体" w:cs="宋体"/>
          <w:b/>
          <w:bCs/>
          <w:sz w:val="24"/>
          <w:szCs w:val="24"/>
        </w:rPr>
      </w:pPr>
      <w:bookmarkStart w:id="129" w:name="_Toc989018"/>
      <w:r>
        <w:rPr>
          <w:rFonts w:ascii="宋体" w:eastAsia="宋体" w:hAnsi="宋体" w:cs="宋体"/>
          <w:b/>
          <w:bCs/>
          <w:sz w:val="24"/>
          <w:szCs w:val="24"/>
        </w:rPr>
        <w:t>十六、其他重大事项的说明</w:t>
      </w:r>
      <w:bookmarkEnd w:id="12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公司报告期不存在需要说明的其他重大事项。</w:t>
      </w:r>
    </w:p>
    <w:p w:rsidR="00BA0365" w:rsidRDefault="008D4B2E">
      <w:pPr>
        <w:pStyle w:val="2"/>
        <w:spacing w:before="300" w:after="300" w:line="320" w:lineRule="exact"/>
        <w:rPr>
          <w:rFonts w:ascii="宋体" w:eastAsia="宋体" w:hAnsi="宋体" w:cs="宋体"/>
          <w:b/>
          <w:bCs/>
          <w:sz w:val="24"/>
          <w:szCs w:val="24"/>
        </w:rPr>
      </w:pPr>
      <w:bookmarkStart w:id="130" w:name="_Toc989019"/>
      <w:r>
        <w:rPr>
          <w:rFonts w:ascii="宋体" w:eastAsia="宋体" w:hAnsi="宋体" w:cs="宋体"/>
          <w:b/>
          <w:bCs/>
          <w:sz w:val="24"/>
          <w:szCs w:val="24"/>
        </w:rPr>
        <w:t>十七、公司子公司重大事项</w:t>
      </w:r>
      <w:bookmarkEnd w:id="13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Default="008D4B2E" w:rsidP="00102670">
      <w:pPr>
        <w:pStyle w:val="a3"/>
        <w:ind w:firstLineChars="200" w:firstLine="360"/>
        <w:divId w:val="1051883665"/>
        <w:rPr>
          <w:sz w:val="18"/>
          <w:szCs w:val="18"/>
        </w:rPr>
      </w:pPr>
      <w:r>
        <w:rPr>
          <w:rFonts w:hint="eastAsia"/>
          <w:sz w:val="18"/>
          <w:szCs w:val="18"/>
        </w:rPr>
        <w:t>1、 公司于2023年4月10日召开第八届董事会第六次会议及第八届监事会第七次会议审议通过了《关于控股子公司新三板挂牌的议案》，同意公司控股子公司浙江软控智能科技有限公司（以下简称“软控科技”）按账面</w:t>
      </w:r>
      <w:proofErr w:type="gramStart"/>
      <w:r>
        <w:rPr>
          <w:rFonts w:hint="eastAsia"/>
          <w:sz w:val="18"/>
          <w:szCs w:val="18"/>
        </w:rPr>
        <w:t>净资产值折股</w:t>
      </w:r>
      <w:proofErr w:type="gramEnd"/>
      <w:r>
        <w:rPr>
          <w:rFonts w:hint="eastAsia"/>
          <w:sz w:val="18"/>
          <w:szCs w:val="18"/>
        </w:rPr>
        <w:t>整体变更为股份有限公司并申请在全国中小企业股份转让系统（以下简称“新三板”）挂牌，并授权</w:t>
      </w:r>
      <w:proofErr w:type="gramStart"/>
      <w:r>
        <w:rPr>
          <w:rFonts w:hint="eastAsia"/>
          <w:sz w:val="18"/>
          <w:szCs w:val="18"/>
        </w:rPr>
        <w:t>软控科技</w:t>
      </w:r>
      <w:proofErr w:type="gramEnd"/>
      <w:r>
        <w:rPr>
          <w:rFonts w:hint="eastAsia"/>
          <w:sz w:val="18"/>
          <w:szCs w:val="18"/>
        </w:rPr>
        <w:t>董事长会同其经营</w:t>
      </w:r>
      <w:proofErr w:type="gramStart"/>
      <w:r>
        <w:rPr>
          <w:rFonts w:hint="eastAsia"/>
          <w:sz w:val="18"/>
          <w:szCs w:val="18"/>
        </w:rPr>
        <w:t>层具体办理软控科技</w:t>
      </w:r>
      <w:proofErr w:type="gramEnd"/>
      <w:r>
        <w:rPr>
          <w:rFonts w:hint="eastAsia"/>
          <w:sz w:val="18"/>
          <w:szCs w:val="18"/>
        </w:rPr>
        <w:t>新三板挂牌相关事宜。《关于控股子公司新三板挂牌的公告》详见</w:t>
      </w:r>
      <w:r>
        <w:rPr>
          <w:rFonts w:ascii="Times New Roman" w:hAnsi="Times New Roman" w:cs="Times New Roman"/>
          <w:sz w:val="18"/>
          <w:szCs w:val="18"/>
        </w:rPr>
        <w:t>2023</w:t>
      </w:r>
      <w:r>
        <w:rPr>
          <w:rFonts w:hint="eastAsia"/>
          <w:sz w:val="18"/>
          <w:szCs w:val="18"/>
        </w:rPr>
        <w:t>年</w:t>
      </w:r>
      <w:r>
        <w:rPr>
          <w:rFonts w:ascii="Calibri" w:hAnsi="Calibri" w:cs="Calibri"/>
          <w:sz w:val="18"/>
          <w:szCs w:val="18"/>
        </w:rPr>
        <w:t>4</w:t>
      </w:r>
      <w:r>
        <w:rPr>
          <w:rFonts w:hint="eastAsia"/>
          <w:sz w:val="18"/>
          <w:szCs w:val="18"/>
        </w:rPr>
        <w:t>月</w:t>
      </w:r>
      <w:r>
        <w:rPr>
          <w:rFonts w:ascii="Calibri" w:hAnsi="Calibri" w:cs="Calibri"/>
          <w:sz w:val="18"/>
          <w:szCs w:val="18"/>
        </w:rPr>
        <w:t>12</w:t>
      </w:r>
      <w:r>
        <w:rPr>
          <w:rFonts w:hint="eastAsia"/>
          <w:sz w:val="18"/>
          <w:szCs w:val="18"/>
        </w:rPr>
        <w:t>日的巨潮资讯网（</w:t>
      </w:r>
      <w:r>
        <w:rPr>
          <w:rFonts w:ascii="Times New Roman" w:hAnsi="Times New Roman" w:cs="Times New Roman"/>
          <w:sz w:val="18"/>
          <w:szCs w:val="18"/>
        </w:rPr>
        <w:t>http://www.cninfo.com.cn</w:t>
      </w:r>
      <w:r>
        <w:rPr>
          <w:rFonts w:hint="eastAsia"/>
          <w:sz w:val="18"/>
          <w:szCs w:val="18"/>
        </w:rPr>
        <w:t>）及指定信息披露媒体。</w:t>
      </w:r>
      <w:r>
        <w:rPr>
          <w:rFonts w:ascii="Calibri" w:hAnsi="Calibri" w:cs="Calibri"/>
          <w:sz w:val="18"/>
          <w:szCs w:val="18"/>
        </w:rPr>
        <w:t> </w:t>
      </w:r>
      <w:r>
        <w:rPr>
          <w:rFonts w:hint="eastAsia"/>
          <w:sz w:val="18"/>
          <w:szCs w:val="18"/>
        </w:rPr>
        <w:t xml:space="preserve">  </w:t>
      </w:r>
    </w:p>
    <w:p w:rsidR="008D4B2E" w:rsidRDefault="008D4B2E" w:rsidP="00102670">
      <w:pPr>
        <w:pStyle w:val="a3"/>
        <w:ind w:firstLineChars="200" w:firstLine="360"/>
        <w:divId w:val="1051883665"/>
        <w:rPr>
          <w:sz w:val="18"/>
          <w:szCs w:val="18"/>
        </w:rPr>
      </w:pPr>
      <w:r>
        <w:rPr>
          <w:rFonts w:hint="eastAsia"/>
          <w:sz w:val="18"/>
          <w:szCs w:val="18"/>
        </w:rPr>
        <w:t>2、 公司于2023年4月25日召开第八届董事会第七次会议审议通过了《关于转让全资子公司股权的议案》，将全资子公司青岛软控智能装备有限公司（以下简称“软控智能”）100%的股权全部转让给科捷智能科技股份有限公司。本次交易完成后，</w:t>
      </w:r>
      <w:proofErr w:type="gramStart"/>
      <w:r>
        <w:rPr>
          <w:rFonts w:hint="eastAsia"/>
          <w:sz w:val="18"/>
          <w:szCs w:val="18"/>
        </w:rPr>
        <w:t>软控智能</w:t>
      </w:r>
      <w:proofErr w:type="gramEnd"/>
      <w:r>
        <w:rPr>
          <w:rFonts w:hint="eastAsia"/>
          <w:sz w:val="18"/>
          <w:szCs w:val="18"/>
        </w:rPr>
        <w:t>不再纳入公司合并报表范围。《</w:t>
      </w:r>
      <w:r>
        <w:rPr>
          <w:rFonts w:hint="eastAsia"/>
          <w:color w:val="000000"/>
          <w:sz w:val="18"/>
          <w:szCs w:val="18"/>
        </w:rPr>
        <w:t>关于转让全资子公司股权的公告</w:t>
      </w:r>
      <w:r>
        <w:rPr>
          <w:rFonts w:hint="eastAsia"/>
          <w:sz w:val="18"/>
          <w:szCs w:val="18"/>
        </w:rPr>
        <w:t>》详见</w:t>
      </w:r>
      <w:r>
        <w:rPr>
          <w:rFonts w:ascii="Times New Roman" w:hAnsi="Times New Roman" w:cs="Times New Roman"/>
          <w:sz w:val="18"/>
          <w:szCs w:val="18"/>
        </w:rPr>
        <w:t>2023</w:t>
      </w:r>
      <w:r>
        <w:rPr>
          <w:rFonts w:hint="eastAsia"/>
          <w:sz w:val="18"/>
          <w:szCs w:val="18"/>
        </w:rPr>
        <w:t>年</w:t>
      </w:r>
      <w:r>
        <w:rPr>
          <w:rFonts w:ascii="Calibri" w:hAnsi="Calibri" w:cs="Calibri"/>
          <w:sz w:val="18"/>
          <w:szCs w:val="18"/>
        </w:rPr>
        <w:t>4</w:t>
      </w:r>
      <w:r>
        <w:rPr>
          <w:rFonts w:hint="eastAsia"/>
          <w:sz w:val="18"/>
          <w:szCs w:val="18"/>
        </w:rPr>
        <w:t>月</w:t>
      </w:r>
      <w:r>
        <w:rPr>
          <w:rFonts w:ascii="Calibri" w:hAnsi="Calibri" w:cs="Calibri"/>
          <w:sz w:val="18"/>
          <w:szCs w:val="18"/>
        </w:rPr>
        <w:t>26</w:t>
      </w:r>
      <w:r>
        <w:rPr>
          <w:rFonts w:hint="eastAsia"/>
          <w:sz w:val="18"/>
          <w:szCs w:val="18"/>
        </w:rPr>
        <w:t>日的巨潮资讯网（</w:t>
      </w:r>
      <w:hyperlink r:id="rId11" w:history="1">
        <w:r>
          <w:rPr>
            <w:rStyle w:val="a5"/>
            <w:rFonts w:ascii="Times New Roman" w:hAnsi="Times New Roman" w:cs="Times New Roman"/>
            <w:sz w:val="18"/>
            <w:szCs w:val="18"/>
          </w:rPr>
          <w:t>http://www.cninfo.com.cn</w:t>
        </w:r>
      </w:hyperlink>
      <w:r>
        <w:rPr>
          <w:rFonts w:hint="eastAsia"/>
          <w:sz w:val="18"/>
          <w:szCs w:val="18"/>
        </w:rPr>
        <w:t>）及指定信息披露媒体。</w:t>
      </w:r>
      <w:r>
        <w:rPr>
          <w:rFonts w:ascii="Calibri" w:hAnsi="Calibri" w:cs="Calibri"/>
          <w:sz w:val="18"/>
          <w:szCs w:val="18"/>
        </w:rPr>
        <w:t> </w:t>
      </w:r>
      <w:r>
        <w:rPr>
          <w:rFonts w:hint="eastAsia"/>
          <w:sz w:val="18"/>
          <w:szCs w:val="18"/>
        </w:rPr>
        <w:t> </w:t>
      </w:r>
    </w:p>
    <w:p w:rsidR="008D4B2E" w:rsidRDefault="008D4B2E" w:rsidP="00102670">
      <w:pPr>
        <w:pStyle w:val="a3"/>
        <w:ind w:firstLineChars="200" w:firstLine="360"/>
        <w:divId w:val="1051883665"/>
        <w:rPr>
          <w:sz w:val="18"/>
          <w:szCs w:val="18"/>
        </w:rPr>
      </w:pPr>
      <w:r>
        <w:rPr>
          <w:rFonts w:hint="eastAsia"/>
          <w:sz w:val="18"/>
          <w:szCs w:val="18"/>
        </w:rPr>
        <w:lastRenderedPageBreak/>
        <w:t xml:space="preserve">3、 公司于2023年6月29日召开的第八届董事会第八次会议审议通过《关于对全资子公司增资的议案》，公司使用自有资金对 </w:t>
      </w:r>
      <w:proofErr w:type="gramStart"/>
      <w:r>
        <w:rPr>
          <w:rFonts w:hint="eastAsia"/>
          <w:sz w:val="18"/>
          <w:szCs w:val="18"/>
        </w:rPr>
        <w:t>软控联合</w:t>
      </w:r>
      <w:proofErr w:type="gramEnd"/>
      <w:r>
        <w:rPr>
          <w:rFonts w:hint="eastAsia"/>
          <w:sz w:val="18"/>
          <w:szCs w:val="18"/>
        </w:rPr>
        <w:t>科技有限公司（以下简称“联合科技”） 增资人民币10,000元，全部计入注册资本。本次增资完成后，联合科技的注册资本由6,000万增加至16,000万元，联合科技仍为公司的全资子公司。《关于对全资子公司增资的公告 》详见</w:t>
      </w:r>
      <w:r>
        <w:rPr>
          <w:rFonts w:ascii="Times New Roman" w:hAnsi="Times New Roman" w:cs="Times New Roman"/>
          <w:sz w:val="18"/>
          <w:szCs w:val="18"/>
        </w:rPr>
        <w:t>2023</w:t>
      </w:r>
      <w:r>
        <w:rPr>
          <w:rFonts w:hint="eastAsia"/>
          <w:sz w:val="18"/>
          <w:szCs w:val="18"/>
        </w:rPr>
        <w:t>年</w:t>
      </w:r>
      <w:r>
        <w:rPr>
          <w:rFonts w:ascii="Calibri" w:hAnsi="Calibri" w:cs="Calibri"/>
          <w:sz w:val="18"/>
          <w:szCs w:val="18"/>
        </w:rPr>
        <w:t>6</w:t>
      </w:r>
      <w:r>
        <w:rPr>
          <w:rFonts w:hint="eastAsia"/>
          <w:sz w:val="18"/>
          <w:szCs w:val="18"/>
        </w:rPr>
        <w:t>月</w:t>
      </w:r>
      <w:r>
        <w:rPr>
          <w:rFonts w:ascii="Calibri" w:hAnsi="Calibri" w:cs="Calibri"/>
          <w:sz w:val="18"/>
          <w:szCs w:val="18"/>
        </w:rPr>
        <w:t>30</w:t>
      </w:r>
      <w:r>
        <w:rPr>
          <w:rFonts w:hint="eastAsia"/>
          <w:sz w:val="18"/>
          <w:szCs w:val="18"/>
        </w:rPr>
        <w:t>日的巨潮资讯网（</w:t>
      </w:r>
      <w:hyperlink r:id="rId12" w:history="1">
        <w:r>
          <w:rPr>
            <w:rStyle w:val="a5"/>
            <w:rFonts w:ascii="Times New Roman" w:hAnsi="Times New Roman" w:cs="Times New Roman"/>
            <w:sz w:val="18"/>
            <w:szCs w:val="18"/>
          </w:rPr>
          <w:t>http://www.cninfo.com.cn</w:t>
        </w:r>
      </w:hyperlink>
      <w:r>
        <w:rPr>
          <w:rFonts w:hint="eastAsia"/>
          <w:sz w:val="18"/>
          <w:szCs w:val="18"/>
        </w:rPr>
        <w:t>）及指定信息披露媒体。</w:t>
      </w:r>
      <w:r>
        <w:rPr>
          <w:rFonts w:ascii="Calibri" w:hAnsi="Calibri" w:cs="Calibri"/>
          <w:sz w:val="18"/>
          <w:szCs w:val="18"/>
        </w:rPr>
        <w:t> </w:t>
      </w:r>
    </w:p>
    <w:p w:rsidR="008D4B2E" w:rsidRDefault="008D4B2E">
      <w:pPr>
        <w:pStyle w:val="a3"/>
        <w:divId w:val="1051883665"/>
        <w:rPr>
          <w:sz w:val="18"/>
          <w:szCs w:val="18"/>
        </w:rPr>
      </w:pPr>
      <w:r>
        <w:rPr>
          <w:rFonts w:hint="eastAsia"/>
          <w:sz w:val="18"/>
          <w:szCs w:val="18"/>
        </w:rPr>
        <w:t>  公司于2023年6月29日召开的第八届董事会第八次会议审议通过《关于全资子公司购买土地使用权及地上房屋建筑物的议案》，全资子公司联合科技与诸城安</w:t>
      </w:r>
      <w:proofErr w:type="gramStart"/>
      <w:r>
        <w:rPr>
          <w:rFonts w:hint="eastAsia"/>
          <w:sz w:val="18"/>
          <w:szCs w:val="18"/>
        </w:rPr>
        <w:t>邦</w:t>
      </w:r>
      <w:proofErr w:type="gramEnd"/>
      <w:r>
        <w:rPr>
          <w:rFonts w:hint="eastAsia"/>
          <w:sz w:val="18"/>
          <w:szCs w:val="18"/>
        </w:rPr>
        <w:t>建设有限公司签订《资产转让协议》，使用其自有资金人民币8,341万元购买位于诸城市林家村镇东店子村154号的土地使用权及房屋建筑物的所有权，以满足生产经营需求。《关于全资子公司购买土地使用权及地上房屋建筑物的公告》详见</w:t>
      </w:r>
      <w:r>
        <w:rPr>
          <w:rFonts w:ascii="Times New Roman" w:hAnsi="Times New Roman" w:cs="Times New Roman"/>
          <w:sz w:val="18"/>
          <w:szCs w:val="18"/>
        </w:rPr>
        <w:t>2023</w:t>
      </w:r>
      <w:r>
        <w:rPr>
          <w:rFonts w:hint="eastAsia"/>
          <w:sz w:val="18"/>
          <w:szCs w:val="18"/>
        </w:rPr>
        <w:t>年</w:t>
      </w:r>
      <w:r>
        <w:rPr>
          <w:rFonts w:ascii="Calibri" w:hAnsi="Calibri" w:cs="Calibri"/>
          <w:sz w:val="18"/>
          <w:szCs w:val="18"/>
        </w:rPr>
        <w:t>6</w:t>
      </w:r>
      <w:r>
        <w:rPr>
          <w:rFonts w:hint="eastAsia"/>
          <w:sz w:val="18"/>
          <w:szCs w:val="18"/>
        </w:rPr>
        <w:t>月</w:t>
      </w:r>
      <w:r>
        <w:rPr>
          <w:rFonts w:ascii="Calibri" w:hAnsi="Calibri" w:cs="Calibri"/>
          <w:sz w:val="18"/>
          <w:szCs w:val="18"/>
        </w:rPr>
        <w:t>30</w:t>
      </w:r>
      <w:r>
        <w:rPr>
          <w:rFonts w:hint="eastAsia"/>
          <w:sz w:val="18"/>
          <w:szCs w:val="18"/>
        </w:rPr>
        <w:t>日的巨潮资讯网（</w:t>
      </w:r>
      <w:hyperlink r:id="rId13" w:history="1">
        <w:r>
          <w:rPr>
            <w:rStyle w:val="a5"/>
            <w:rFonts w:ascii="Times New Roman" w:hAnsi="Times New Roman" w:cs="Times New Roman"/>
            <w:sz w:val="18"/>
            <w:szCs w:val="18"/>
          </w:rPr>
          <w:t>http://www.cninfo.com.cn</w:t>
        </w:r>
      </w:hyperlink>
      <w:r>
        <w:rPr>
          <w:rFonts w:hint="eastAsia"/>
          <w:sz w:val="18"/>
          <w:szCs w:val="18"/>
        </w:rPr>
        <w:t>）及指定信息披露媒体。</w:t>
      </w:r>
    </w:p>
    <w:p w:rsidR="008D4B2E" w:rsidRDefault="008D4B2E" w:rsidP="00102670">
      <w:pPr>
        <w:pStyle w:val="a3"/>
        <w:ind w:firstLineChars="200" w:firstLine="360"/>
        <w:divId w:val="1051883665"/>
        <w:rPr>
          <w:sz w:val="18"/>
          <w:szCs w:val="18"/>
        </w:rPr>
      </w:pPr>
      <w:r>
        <w:rPr>
          <w:rFonts w:hint="eastAsia"/>
          <w:sz w:val="18"/>
          <w:szCs w:val="18"/>
        </w:rPr>
        <w:t>4、 公司于2023年12月1日召开的第八届董事会第十四次会议审议通过了《关于购买控股子公司股权的议案》，公司与诸暨</w:t>
      </w:r>
      <w:proofErr w:type="gramStart"/>
      <w:r>
        <w:rPr>
          <w:rFonts w:hint="eastAsia"/>
          <w:sz w:val="18"/>
          <w:szCs w:val="18"/>
        </w:rPr>
        <w:t>市高盈股权</w:t>
      </w:r>
      <w:proofErr w:type="gramEnd"/>
      <w:r>
        <w:rPr>
          <w:rFonts w:hint="eastAsia"/>
          <w:sz w:val="18"/>
          <w:szCs w:val="18"/>
        </w:rPr>
        <w:t>投资合伙企业（有限合伙）（以下简称“高盈投资”）签署《股权转让协议》，</w:t>
      </w:r>
      <w:proofErr w:type="gramStart"/>
      <w:r>
        <w:rPr>
          <w:rFonts w:hint="eastAsia"/>
          <w:sz w:val="18"/>
          <w:szCs w:val="18"/>
        </w:rPr>
        <w:t>将高盈投资</w:t>
      </w:r>
      <w:proofErr w:type="gramEnd"/>
      <w:r>
        <w:rPr>
          <w:rFonts w:hint="eastAsia"/>
          <w:sz w:val="18"/>
          <w:szCs w:val="18"/>
        </w:rPr>
        <w:t>所持有的软控（诸暨）智能装备有限公司（以下简称“软控诸暨”）48.9913%的股权以人民币19,209万元全部收购，收购完成后，</w:t>
      </w:r>
      <w:proofErr w:type="gramStart"/>
      <w:r>
        <w:rPr>
          <w:rFonts w:hint="eastAsia"/>
          <w:sz w:val="18"/>
          <w:szCs w:val="18"/>
        </w:rPr>
        <w:t>软控诸暨</w:t>
      </w:r>
      <w:proofErr w:type="gramEnd"/>
      <w:r>
        <w:rPr>
          <w:rFonts w:hint="eastAsia"/>
          <w:sz w:val="18"/>
          <w:szCs w:val="18"/>
        </w:rPr>
        <w:t>将成为公司的全资子公司，继续纳入公司合并报表范围。《</w:t>
      </w:r>
      <w:r>
        <w:rPr>
          <w:rFonts w:hint="eastAsia"/>
          <w:color w:val="000000"/>
          <w:sz w:val="18"/>
          <w:szCs w:val="18"/>
        </w:rPr>
        <w:t>关于购买控股子公司股权的公告</w:t>
      </w:r>
      <w:r>
        <w:rPr>
          <w:rFonts w:hint="eastAsia"/>
          <w:sz w:val="18"/>
          <w:szCs w:val="18"/>
        </w:rPr>
        <w:t>》详见</w:t>
      </w:r>
      <w:r>
        <w:rPr>
          <w:rFonts w:ascii="Times New Roman" w:hAnsi="Times New Roman" w:cs="Times New Roman"/>
          <w:sz w:val="18"/>
          <w:szCs w:val="18"/>
        </w:rPr>
        <w:t>2023</w:t>
      </w:r>
      <w:r>
        <w:rPr>
          <w:rFonts w:hint="eastAsia"/>
          <w:sz w:val="18"/>
          <w:szCs w:val="18"/>
        </w:rPr>
        <w:t>年</w:t>
      </w:r>
      <w:r>
        <w:rPr>
          <w:rFonts w:ascii="Calibri" w:hAnsi="Calibri" w:cs="Calibri"/>
          <w:sz w:val="18"/>
          <w:szCs w:val="18"/>
        </w:rPr>
        <w:t>12</w:t>
      </w:r>
      <w:r>
        <w:rPr>
          <w:rFonts w:hint="eastAsia"/>
          <w:sz w:val="18"/>
          <w:szCs w:val="18"/>
        </w:rPr>
        <w:t>月</w:t>
      </w:r>
      <w:r>
        <w:rPr>
          <w:rFonts w:ascii="Calibri" w:hAnsi="Calibri" w:cs="Calibri"/>
          <w:sz w:val="18"/>
          <w:szCs w:val="18"/>
        </w:rPr>
        <w:t>2</w:t>
      </w:r>
      <w:r>
        <w:rPr>
          <w:rFonts w:hint="eastAsia"/>
          <w:sz w:val="18"/>
          <w:szCs w:val="18"/>
        </w:rPr>
        <w:t>日的巨潮资讯网（</w:t>
      </w:r>
      <w:hyperlink r:id="rId14" w:history="1">
        <w:r>
          <w:rPr>
            <w:rStyle w:val="a5"/>
            <w:rFonts w:ascii="Times New Roman" w:hAnsi="Times New Roman" w:cs="Times New Roman"/>
            <w:sz w:val="18"/>
            <w:szCs w:val="18"/>
          </w:rPr>
          <w:t>http://www.cninfo.com.cn</w:t>
        </w:r>
      </w:hyperlink>
      <w:r>
        <w:rPr>
          <w:rFonts w:hint="eastAsia"/>
          <w:sz w:val="18"/>
          <w:szCs w:val="18"/>
        </w:rPr>
        <w:t>）及指定信息披露媒体。</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31" w:name="_Toc989020"/>
      <w:r>
        <w:rPr>
          <w:rFonts w:ascii="宋体" w:eastAsia="宋体" w:hAnsi="宋体" w:cs="宋体"/>
          <w:b/>
          <w:bCs/>
          <w:sz w:val="32"/>
          <w:szCs w:val="32"/>
        </w:rPr>
        <w:lastRenderedPageBreak/>
        <w:t>第七节 股份变动及股东情况</w:t>
      </w:r>
      <w:bookmarkEnd w:id="131"/>
    </w:p>
    <w:p w:rsidR="00BA0365" w:rsidRDefault="008D4B2E">
      <w:pPr>
        <w:pStyle w:val="2"/>
        <w:spacing w:before="300" w:after="300" w:line="320" w:lineRule="exact"/>
        <w:rPr>
          <w:rFonts w:ascii="宋体" w:eastAsia="宋体" w:hAnsi="宋体" w:cs="宋体"/>
          <w:b/>
          <w:bCs/>
          <w:sz w:val="24"/>
          <w:szCs w:val="24"/>
        </w:rPr>
      </w:pPr>
      <w:bookmarkStart w:id="132" w:name="_Toc989021"/>
      <w:r>
        <w:rPr>
          <w:rFonts w:ascii="宋体" w:eastAsia="宋体" w:hAnsi="宋体" w:cs="宋体"/>
          <w:b/>
          <w:bCs/>
          <w:sz w:val="24"/>
          <w:szCs w:val="24"/>
        </w:rPr>
        <w:t>一、股份变动情况</w:t>
      </w:r>
      <w:bookmarkEnd w:id="132"/>
    </w:p>
    <w:p w:rsidR="00BA0365" w:rsidRDefault="008D4B2E">
      <w:pPr>
        <w:pStyle w:val="3"/>
        <w:spacing w:line="280" w:lineRule="exact"/>
        <w:jc w:val="left"/>
        <w:rPr>
          <w:rFonts w:ascii="宋体" w:hAnsi="宋体" w:cs="宋体"/>
          <w:b/>
          <w:bCs/>
        </w:rPr>
      </w:pPr>
      <w:bookmarkStart w:id="133" w:name="_Toc989022"/>
      <w:r>
        <w:rPr>
          <w:rFonts w:ascii="宋体" w:hAnsi="宋体" w:cs="宋体"/>
          <w:b/>
          <w:bCs/>
        </w:rPr>
        <w:t>1、股份变动情况</w:t>
      </w:r>
      <w:bookmarkEnd w:id="13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Layout w:type="fixed"/>
        <w:tblLook w:val="04A0" w:firstRow="1" w:lastRow="0" w:firstColumn="1" w:lastColumn="0" w:noHBand="0" w:noVBand="1"/>
      </w:tblPr>
      <w:tblGrid>
        <w:gridCol w:w="1526"/>
        <w:gridCol w:w="1134"/>
        <w:gridCol w:w="850"/>
        <w:gridCol w:w="851"/>
        <w:gridCol w:w="709"/>
        <w:gridCol w:w="850"/>
        <w:gridCol w:w="992"/>
        <w:gridCol w:w="993"/>
        <w:gridCol w:w="992"/>
        <w:gridCol w:w="742"/>
      </w:tblGrid>
      <w:tr w:rsidR="00157EA0" w:rsidTr="006C5451">
        <w:trPr>
          <w:trHeight w:val="240"/>
        </w:trPr>
        <w:tc>
          <w:tcPr>
            <w:tcW w:w="15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8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本次变动前</w:t>
            </w:r>
          </w:p>
        </w:tc>
        <w:tc>
          <w:tcPr>
            <w:tcW w:w="4395"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173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本次变动后</w:t>
            </w:r>
          </w:p>
        </w:tc>
      </w:tr>
      <w:tr w:rsidR="00157EA0" w:rsidTr="006C5451">
        <w:trPr>
          <w:trHeight w:val="240"/>
        </w:trPr>
        <w:tc>
          <w:tcPr>
            <w:tcW w:w="15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9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7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一、有限</w:t>
            </w:r>
            <w:proofErr w:type="gramStart"/>
            <w:r>
              <w:rPr>
                <w:rFonts w:ascii="宋体" w:eastAsia="宋体" w:hAnsi="宋体" w:cs="宋体"/>
                <w:sz w:val="18"/>
                <w:szCs w:val="18"/>
              </w:rPr>
              <w:t>售条件</w:t>
            </w:r>
            <w:proofErr w:type="gramEnd"/>
            <w:r>
              <w:rPr>
                <w:rFonts w:ascii="宋体" w:eastAsia="宋体" w:hAnsi="宋体" w:cs="宋体"/>
                <w:sz w:val="18"/>
                <w:szCs w:val="18"/>
              </w:rPr>
              <w:t>股份</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28,214,600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-10,934,000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26,566,000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54,780,600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1、国家持股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2、国有法人持股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3、其他内资持股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28,210,600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-10,932,400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26,567,600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54,778,200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其中：境内法人持股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境内自然人持股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28,210,600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2.91%</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-10,932,400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26,567,600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54,778,200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4、外资持股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其中：境外法人持股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境外自然人持股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二、无限</w:t>
            </w:r>
            <w:proofErr w:type="gramStart"/>
            <w:r>
              <w:rPr>
                <w:rFonts w:ascii="宋体" w:eastAsia="宋体" w:hAnsi="宋体" w:cs="宋体"/>
                <w:sz w:val="18"/>
                <w:szCs w:val="18"/>
              </w:rPr>
              <w:t>售条件</w:t>
            </w:r>
            <w:proofErr w:type="gramEnd"/>
            <w:r>
              <w:rPr>
                <w:rFonts w:ascii="宋体" w:eastAsia="宋体" w:hAnsi="宋体" w:cs="宋体"/>
                <w:sz w:val="18"/>
                <w:szCs w:val="18"/>
              </w:rPr>
              <w:t>股份</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941,292,074</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97.09%</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16,023,830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16,023,830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957,315,904</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94.59%</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1、人民币普通股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941,292,074</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97.09%</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16,023,830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16,023,830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957,315,904</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94.59%</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2、境内上市的外资股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3、境外上市的外资股</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4、其他</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rsidTr="006C5451">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三、股份总数</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5,089,830</w:t>
            </w:r>
          </w:p>
        </w:tc>
        <w:tc>
          <w:tcPr>
            <w:tcW w:w="9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股份变动的原因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606927" w:rsidRDefault="008D4B2E" w:rsidP="00C067EE">
      <w:pPr>
        <w:pStyle w:val="a3"/>
        <w:spacing w:before="0" w:beforeAutospacing="0" w:after="0" w:afterAutospacing="0"/>
        <w:ind w:firstLineChars="200" w:firstLine="360"/>
        <w:divId w:val="259997742"/>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7</w:t>
      </w:r>
      <w:r w:rsidRPr="00606927">
        <w:rPr>
          <w:rFonts w:hint="eastAsia"/>
          <w:kern w:val="2"/>
          <w:sz w:val="18"/>
          <w:szCs w:val="18"/>
        </w:rPr>
        <w:t>月</w:t>
      </w:r>
      <w:r w:rsidRPr="00606927">
        <w:rPr>
          <w:kern w:val="2"/>
          <w:sz w:val="18"/>
          <w:szCs w:val="18"/>
        </w:rPr>
        <w:t>18</w:t>
      </w:r>
      <w:r w:rsidRPr="00606927">
        <w:rPr>
          <w:rFonts w:hint="eastAsia"/>
          <w:kern w:val="2"/>
          <w:sz w:val="18"/>
          <w:szCs w:val="18"/>
        </w:rPr>
        <w:t>日，公司披露了《关于注销部分股票期权和回购注销部分限制性股票完成的公告》，因3名激励对象离职，公司完成了对其</w:t>
      </w:r>
      <w:proofErr w:type="gramStart"/>
      <w:r w:rsidRPr="00606927">
        <w:rPr>
          <w:rFonts w:hint="eastAsia"/>
          <w:kern w:val="2"/>
          <w:sz w:val="18"/>
          <w:szCs w:val="18"/>
        </w:rPr>
        <w:t>已获授但尚未</w:t>
      </w:r>
      <w:proofErr w:type="gramEnd"/>
      <w:r w:rsidRPr="00606927">
        <w:rPr>
          <w:rFonts w:hint="eastAsia"/>
          <w:kern w:val="2"/>
          <w:sz w:val="18"/>
          <w:szCs w:val="18"/>
        </w:rPr>
        <w:t>解除限售的限制性股票合计10,000股予以回购注销，其</w:t>
      </w:r>
      <w:proofErr w:type="gramStart"/>
      <w:r w:rsidRPr="00606927">
        <w:rPr>
          <w:rFonts w:hint="eastAsia"/>
          <w:kern w:val="2"/>
          <w:sz w:val="18"/>
          <w:szCs w:val="18"/>
        </w:rPr>
        <w:t>已获授但尚未</w:t>
      </w:r>
      <w:proofErr w:type="gramEnd"/>
      <w:r w:rsidRPr="00606927">
        <w:rPr>
          <w:rFonts w:hint="eastAsia"/>
          <w:kern w:val="2"/>
          <w:sz w:val="18"/>
          <w:szCs w:val="18"/>
        </w:rPr>
        <w:t>行权的股票期权合计200,000份予以注销。</w:t>
      </w:r>
    </w:p>
    <w:p w:rsidR="008D4B2E" w:rsidRPr="00606927" w:rsidRDefault="008D4B2E" w:rsidP="00C067EE">
      <w:pPr>
        <w:pStyle w:val="a3"/>
        <w:spacing w:before="0" w:beforeAutospacing="0" w:after="0" w:afterAutospacing="0"/>
        <w:ind w:firstLineChars="200" w:firstLine="360"/>
        <w:divId w:val="259997742"/>
        <w:rPr>
          <w:kern w:val="2"/>
          <w:sz w:val="18"/>
          <w:szCs w:val="18"/>
        </w:rPr>
      </w:pPr>
      <w:r w:rsidRPr="00606927">
        <w:rPr>
          <w:rFonts w:hint="eastAsia"/>
          <w:kern w:val="2"/>
          <w:sz w:val="18"/>
          <w:szCs w:val="18"/>
        </w:rPr>
        <w:t>2023年10月13日，公司披露了《关于公司2022年股票期权与限制性股票激励计划第一个行权期采用自主行权模式的提示性公告》，本次激励计划第一个</w:t>
      </w:r>
      <w:proofErr w:type="gramStart"/>
      <w:r w:rsidRPr="00606927">
        <w:rPr>
          <w:rFonts w:hint="eastAsia"/>
          <w:kern w:val="2"/>
          <w:sz w:val="18"/>
          <w:szCs w:val="18"/>
        </w:rPr>
        <w:t>可行权期自</w:t>
      </w:r>
      <w:proofErr w:type="gramEnd"/>
      <w:r w:rsidRPr="00606927">
        <w:rPr>
          <w:rFonts w:hint="eastAsia"/>
          <w:kern w:val="2"/>
          <w:sz w:val="18"/>
          <w:szCs w:val="18"/>
        </w:rPr>
        <w:t>2023年9月30日起至2024年9月29日止，因行权日期须为交易日，因</w:t>
      </w:r>
      <w:r w:rsidRPr="00606927">
        <w:rPr>
          <w:rFonts w:hint="eastAsia"/>
          <w:kern w:val="2"/>
          <w:sz w:val="18"/>
          <w:szCs w:val="18"/>
        </w:rPr>
        <w:lastRenderedPageBreak/>
        <w:t>此本次激励计划第一个</w:t>
      </w:r>
      <w:proofErr w:type="gramStart"/>
      <w:r w:rsidRPr="00606927">
        <w:rPr>
          <w:rFonts w:hint="eastAsia"/>
          <w:kern w:val="2"/>
          <w:sz w:val="18"/>
          <w:szCs w:val="18"/>
        </w:rPr>
        <w:t>可行权期自</w:t>
      </w:r>
      <w:proofErr w:type="gramEnd"/>
      <w:r w:rsidRPr="00606927">
        <w:rPr>
          <w:rFonts w:hint="eastAsia"/>
          <w:kern w:val="2"/>
          <w:sz w:val="18"/>
          <w:szCs w:val="18"/>
        </w:rPr>
        <w:t>2023年10月13日起至2024年9月27日止，本次符合行权条件的激励对象为248人，本次可行权的股票期权数量为947.20万股。截止至2023年12月31日，已行权的股份数为</w:t>
      </w:r>
      <w:r w:rsidRPr="00606927">
        <w:rPr>
          <w:kern w:val="2"/>
          <w:sz w:val="18"/>
          <w:szCs w:val="18"/>
        </w:rPr>
        <w:t>5,099,830</w:t>
      </w:r>
      <w:r w:rsidRPr="00606927">
        <w:rPr>
          <w:rFonts w:hint="eastAsia"/>
          <w:kern w:val="2"/>
          <w:sz w:val="18"/>
          <w:szCs w:val="18"/>
        </w:rPr>
        <w:t>股。</w:t>
      </w:r>
    </w:p>
    <w:p w:rsidR="008D4B2E" w:rsidRPr="00606927" w:rsidRDefault="008D4B2E" w:rsidP="00C067EE">
      <w:pPr>
        <w:pStyle w:val="a3"/>
        <w:spacing w:before="0" w:beforeAutospacing="0" w:after="0" w:afterAutospacing="0"/>
        <w:ind w:firstLineChars="200" w:firstLine="360"/>
        <w:divId w:val="259997742"/>
        <w:rPr>
          <w:kern w:val="2"/>
          <w:sz w:val="18"/>
          <w:szCs w:val="18"/>
        </w:rPr>
      </w:pPr>
      <w:r w:rsidRPr="00606927">
        <w:rPr>
          <w:rFonts w:hint="eastAsia"/>
          <w:kern w:val="2"/>
          <w:sz w:val="18"/>
          <w:szCs w:val="18"/>
        </w:rPr>
        <w:t>2023年10月17日，公司披露了《关于公司2022年股票期权与限制性股票激励计划第一个解除限售期解除限售股份上市流通的公告》，本次解除限售的限制性股票上市流通日为2023年10月20日，本次符合解除限售条件的激励对象为244人，本次解除限售的限制性股票上市流通数量为636.40万股。</w:t>
      </w:r>
    </w:p>
    <w:p w:rsidR="008D4B2E" w:rsidRPr="00606927" w:rsidRDefault="008D4B2E" w:rsidP="00C067EE">
      <w:pPr>
        <w:pStyle w:val="a3"/>
        <w:spacing w:before="0" w:beforeAutospacing="0" w:after="0" w:afterAutospacing="0"/>
        <w:ind w:firstLineChars="200" w:firstLine="360"/>
        <w:divId w:val="259997742"/>
        <w:rPr>
          <w:kern w:val="2"/>
          <w:sz w:val="18"/>
          <w:szCs w:val="18"/>
        </w:rPr>
      </w:pPr>
      <w:r w:rsidRPr="00606927">
        <w:rPr>
          <w:rFonts w:hint="eastAsia"/>
          <w:kern w:val="2"/>
          <w:sz w:val="18"/>
          <w:szCs w:val="18"/>
        </w:rPr>
        <w:t>2023年10月19日，公司披露了《关于2023年限制性股票激励计划限制性股票授予登记完成的公告》，公司完成了2023年限制性股票的登记工作，本次实际向51名激励对象授予3,750万股限制性股票，该次授予的限制性股票的上市日为2023年10月20日。</w:t>
      </w:r>
    </w:p>
    <w:p w:rsidR="008D4B2E" w:rsidRPr="00606927" w:rsidRDefault="008D4B2E" w:rsidP="00C067EE">
      <w:pPr>
        <w:pStyle w:val="a3"/>
        <w:spacing w:before="0" w:beforeAutospacing="0" w:after="0" w:afterAutospacing="0"/>
        <w:ind w:firstLineChars="200" w:firstLine="360"/>
        <w:divId w:val="259997742"/>
        <w:rPr>
          <w:kern w:val="2"/>
          <w:sz w:val="18"/>
          <w:szCs w:val="18"/>
        </w:rPr>
      </w:pPr>
      <w:r w:rsidRPr="00606927">
        <w:rPr>
          <w:rFonts w:hint="eastAsia"/>
          <w:kern w:val="2"/>
          <w:sz w:val="18"/>
          <w:szCs w:val="18"/>
        </w:rPr>
        <w:t>2023年11月16日，公司披露了《关于公司2021年限制性股票激励计划第二个解除限售期解除限售股份上市流通的公告》，本次解除限售的限制性股票上市流通日为2023年11月21日，本次符合解除限售条件的激励对象为20人，本次解除限售的限制性股票上市流通数量为588.00万股。</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股份变动的批准情况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606927" w:rsidRDefault="008D4B2E" w:rsidP="00C067EE">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4</w:t>
      </w:r>
      <w:r w:rsidRPr="00606927">
        <w:rPr>
          <w:rFonts w:hint="eastAsia"/>
          <w:kern w:val="2"/>
          <w:sz w:val="18"/>
          <w:szCs w:val="18"/>
        </w:rPr>
        <w:t>月</w:t>
      </w:r>
      <w:r w:rsidRPr="00606927">
        <w:rPr>
          <w:kern w:val="2"/>
          <w:sz w:val="18"/>
          <w:szCs w:val="18"/>
        </w:rPr>
        <w:t>10</w:t>
      </w:r>
      <w:r w:rsidRPr="00606927">
        <w:rPr>
          <w:rFonts w:hint="eastAsia"/>
          <w:kern w:val="2"/>
          <w:sz w:val="18"/>
          <w:szCs w:val="18"/>
        </w:rPr>
        <w:t>日，公司召开第八届董事会第六次会议与第八届监事会第七次会议，审议通过了《关于注销部分股票期权和回购注销部分限制性股票的议案》，因</w:t>
      </w:r>
      <w:r w:rsidRPr="00606927">
        <w:rPr>
          <w:kern w:val="2"/>
          <w:sz w:val="18"/>
          <w:szCs w:val="18"/>
        </w:rPr>
        <w:t>3</w:t>
      </w:r>
      <w:r w:rsidRPr="00606927">
        <w:rPr>
          <w:rFonts w:hint="eastAsia"/>
          <w:kern w:val="2"/>
          <w:sz w:val="18"/>
          <w:szCs w:val="18"/>
        </w:rPr>
        <w:t>名激励对象离职，同意对其</w:t>
      </w:r>
      <w:proofErr w:type="gramStart"/>
      <w:r w:rsidRPr="00606927">
        <w:rPr>
          <w:rFonts w:hint="eastAsia"/>
          <w:kern w:val="2"/>
          <w:sz w:val="18"/>
          <w:szCs w:val="18"/>
        </w:rPr>
        <w:t>已获授但尚未</w:t>
      </w:r>
      <w:proofErr w:type="gramEnd"/>
      <w:r w:rsidRPr="00606927">
        <w:rPr>
          <w:rFonts w:hint="eastAsia"/>
          <w:kern w:val="2"/>
          <w:sz w:val="18"/>
          <w:szCs w:val="18"/>
        </w:rPr>
        <w:t>解除限售的限制性股票合计</w:t>
      </w:r>
      <w:r w:rsidRPr="00606927">
        <w:rPr>
          <w:kern w:val="2"/>
          <w:sz w:val="18"/>
          <w:szCs w:val="18"/>
        </w:rPr>
        <w:t>10,000</w:t>
      </w:r>
      <w:r w:rsidRPr="00606927">
        <w:rPr>
          <w:rFonts w:hint="eastAsia"/>
          <w:kern w:val="2"/>
          <w:sz w:val="18"/>
          <w:szCs w:val="18"/>
        </w:rPr>
        <w:t>股予以回购注销，其</w:t>
      </w:r>
      <w:proofErr w:type="gramStart"/>
      <w:r w:rsidRPr="00606927">
        <w:rPr>
          <w:rFonts w:hint="eastAsia"/>
          <w:kern w:val="2"/>
          <w:sz w:val="18"/>
          <w:szCs w:val="18"/>
        </w:rPr>
        <w:t>已获授但尚未</w:t>
      </w:r>
      <w:proofErr w:type="gramEnd"/>
      <w:r w:rsidRPr="00606927">
        <w:rPr>
          <w:rFonts w:hint="eastAsia"/>
          <w:kern w:val="2"/>
          <w:sz w:val="18"/>
          <w:szCs w:val="18"/>
        </w:rPr>
        <w:t>行权的股票期权合计</w:t>
      </w:r>
      <w:r w:rsidRPr="00606927">
        <w:rPr>
          <w:kern w:val="2"/>
          <w:sz w:val="18"/>
          <w:szCs w:val="18"/>
        </w:rPr>
        <w:t>200,000</w:t>
      </w:r>
      <w:r w:rsidRPr="00606927">
        <w:rPr>
          <w:rFonts w:hint="eastAsia"/>
          <w:kern w:val="2"/>
          <w:sz w:val="18"/>
          <w:szCs w:val="18"/>
        </w:rPr>
        <w:t>份予以注销。</w:t>
      </w:r>
      <w:r w:rsidRPr="00606927">
        <w:rPr>
          <w:kern w:val="2"/>
          <w:sz w:val="18"/>
          <w:szCs w:val="18"/>
        </w:rPr>
        <w:t>2023</w:t>
      </w:r>
      <w:r w:rsidRPr="00606927">
        <w:rPr>
          <w:rFonts w:hint="eastAsia"/>
          <w:kern w:val="2"/>
          <w:sz w:val="18"/>
          <w:szCs w:val="18"/>
        </w:rPr>
        <w:t>年</w:t>
      </w:r>
      <w:r w:rsidRPr="00606927">
        <w:rPr>
          <w:kern w:val="2"/>
          <w:sz w:val="18"/>
          <w:szCs w:val="18"/>
        </w:rPr>
        <w:t>5</w:t>
      </w:r>
      <w:r w:rsidRPr="00606927">
        <w:rPr>
          <w:rFonts w:hint="eastAsia"/>
          <w:kern w:val="2"/>
          <w:sz w:val="18"/>
          <w:szCs w:val="18"/>
        </w:rPr>
        <w:t>月</w:t>
      </w:r>
      <w:r w:rsidRPr="00606927">
        <w:rPr>
          <w:kern w:val="2"/>
          <w:sz w:val="18"/>
          <w:szCs w:val="18"/>
        </w:rPr>
        <w:t>8</w:t>
      </w:r>
      <w:r w:rsidRPr="00606927">
        <w:rPr>
          <w:rFonts w:hint="eastAsia"/>
          <w:kern w:val="2"/>
          <w:sz w:val="18"/>
          <w:szCs w:val="18"/>
        </w:rPr>
        <w:t>日，公司召开</w:t>
      </w:r>
      <w:r w:rsidRPr="00606927">
        <w:rPr>
          <w:kern w:val="2"/>
          <w:sz w:val="18"/>
          <w:szCs w:val="18"/>
        </w:rPr>
        <w:t>2022</w:t>
      </w:r>
      <w:r w:rsidRPr="00606927">
        <w:rPr>
          <w:rFonts w:hint="eastAsia"/>
          <w:kern w:val="2"/>
          <w:sz w:val="18"/>
          <w:szCs w:val="18"/>
        </w:rPr>
        <w:t>年度股东大会，审议通过《关于注销部分股票期权和回购注销部分限制性股票的议案》。截至</w:t>
      </w:r>
      <w:r w:rsidRPr="00606927">
        <w:rPr>
          <w:kern w:val="2"/>
          <w:sz w:val="18"/>
          <w:szCs w:val="18"/>
        </w:rPr>
        <w:t>2023</w:t>
      </w:r>
      <w:r w:rsidRPr="00606927">
        <w:rPr>
          <w:rFonts w:hint="eastAsia"/>
          <w:kern w:val="2"/>
          <w:sz w:val="18"/>
          <w:szCs w:val="18"/>
        </w:rPr>
        <w:t>年</w:t>
      </w:r>
      <w:r w:rsidRPr="00606927">
        <w:rPr>
          <w:kern w:val="2"/>
          <w:sz w:val="18"/>
          <w:szCs w:val="18"/>
        </w:rPr>
        <w:t>07</w:t>
      </w:r>
      <w:r w:rsidRPr="00606927">
        <w:rPr>
          <w:rFonts w:hint="eastAsia"/>
          <w:kern w:val="2"/>
          <w:sz w:val="18"/>
          <w:szCs w:val="18"/>
        </w:rPr>
        <w:t>月</w:t>
      </w:r>
      <w:r w:rsidRPr="00606927">
        <w:rPr>
          <w:kern w:val="2"/>
          <w:sz w:val="18"/>
          <w:szCs w:val="18"/>
        </w:rPr>
        <w:t>18</w:t>
      </w:r>
      <w:r w:rsidRPr="00606927">
        <w:rPr>
          <w:rFonts w:hint="eastAsia"/>
          <w:kern w:val="2"/>
          <w:sz w:val="18"/>
          <w:szCs w:val="18"/>
        </w:rPr>
        <w:t>日，公司已在中国证券登记结算有限责任公司深圳分公司办理完成上述限制性股票的回购注销以及股票期权的注销手续，并于同日披露了《关于注销部分股票期权和回购注销部分限制性股票完成的公告》（公告编号：</w:t>
      </w:r>
      <w:r w:rsidRPr="00606927">
        <w:rPr>
          <w:kern w:val="2"/>
          <w:sz w:val="18"/>
          <w:szCs w:val="18"/>
        </w:rPr>
        <w:t>2023-041</w:t>
      </w:r>
      <w:r w:rsidRPr="00606927">
        <w:rPr>
          <w:rFonts w:hint="eastAsia"/>
          <w:kern w:val="2"/>
          <w:sz w:val="18"/>
          <w:szCs w:val="18"/>
        </w:rPr>
        <w:t>）。</w:t>
      </w:r>
    </w:p>
    <w:p w:rsidR="008D4B2E" w:rsidRPr="00606927" w:rsidRDefault="008D4B2E" w:rsidP="00C067EE">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7</w:t>
      </w:r>
      <w:r w:rsidRPr="00606927">
        <w:rPr>
          <w:rFonts w:hint="eastAsia"/>
          <w:kern w:val="2"/>
          <w:sz w:val="18"/>
          <w:szCs w:val="18"/>
        </w:rPr>
        <w:t>月</w:t>
      </w:r>
      <w:r w:rsidRPr="00606927">
        <w:rPr>
          <w:kern w:val="2"/>
          <w:sz w:val="18"/>
          <w:szCs w:val="18"/>
        </w:rPr>
        <w:t>13</w:t>
      </w:r>
      <w:r w:rsidRPr="00606927">
        <w:rPr>
          <w:rFonts w:hint="eastAsia"/>
          <w:kern w:val="2"/>
          <w:sz w:val="18"/>
          <w:szCs w:val="18"/>
        </w:rPr>
        <w:t>日，公司第八届董事会第九次会议审议通过了《关于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年限制性股票激励计划（草案）</w:t>
      </w:r>
      <w:r w:rsidRPr="00606927">
        <w:rPr>
          <w:kern w:val="2"/>
          <w:sz w:val="18"/>
          <w:szCs w:val="18"/>
        </w:rPr>
        <w:t>〉</w:t>
      </w:r>
      <w:r w:rsidRPr="00606927">
        <w:rPr>
          <w:rFonts w:hint="eastAsia"/>
          <w:kern w:val="2"/>
          <w:sz w:val="18"/>
          <w:szCs w:val="18"/>
        </w:rPr>
        <w:t>及其摘要的议案》《关于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年限制性股票激励计划实施考核管理办法</w:t>
      </w:r>
      <w:r w:rsidRPr="00606927">
        <w:rPr>
          <w:kern w:val="2"/>
          <w:sz w:val="18"/>
          <w:szCs w:val="18"/>
        </w:rPr>
        <w:t>〉</w:t>
      </w:r>
      <w:r w:rsidRPr="00606927">
        <w:rPr>
          <w:rFonts w:hint="eastAsia"/>
          <w:kern w:val="2"/>
          <w:sz w:val="18"/>
          <w:szCs w:val="18"/>
        </w:rPr>
        <w:t>的议案》《关于提请股东大会授权董事会办理股权激励相关事宜的议案》。独立董事就本激励计划相关议案发表了同意的独立意见。同日，公司召开了第八届监事会第十次会议审议通过了《关于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年限制性股票激励计划（草案）</w:t>
      </w:r>
      <w:r w:rsidRPr="00606927">
        <w:rPr>
          <w:kern w:val="2"/>
          <w:sz w:val="18"/>
          <w:szCs w:val="18"/>
        </w:rPr>
        <w:t>〉</w:t>
      </w:r>
      <w:r w:rsidRPr="00606927">
        <w:rPr>
          <w:rFonts w:hint="eastAsia"/>
          <w:kern w:val="2"/>
          <w:sz w:val="18"/>
          <w:szCs w:val="18"/>
        </w:rPr>
        <w:t>及其摘要的议案》《关于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年限制性股票激励计划实施考核管理办法</w:t>
      </w:r>
      <w:r w:rsidRPr="00606927">
        <w:rPr>
          <w:kern w:val="2"/>
          <w:sz w:val="18"/>
          <w:szCs w:val="18"/>
        </w:rPr>
        <w:t>〉</w:t>
      </w:r>
      <w:r w:rsidRPr="00606927">
        <w:rPr>
          <w:rFonts w:hint="eastAsia"/>
          <w:kern w:val="2"/>
          <w:sz w:val="18"/>
          <w:szCs w:val="18"/>
        </w:rPr>
        <w:t>的议案》及《关于核查</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年限制性股票激励计划激励对象名单</w:t>
      </w:r>
      <w:r w:rsidRPr="00606927">
        <w:rPr>
          <w:kern w:val="2"/>
          <w:sz w:val="18"/>
          <w:szCs w:val="18"/>
        </w:rPr>
        <w:t>〉</w:t>
      </w:r>
      <w:r w:rsidRPr="00606927">
        <w:rPr>
          <w:rFonts w:hint="eastAsia"/>
          <w:kern w:val="2"/>
          <w:sz w:val="18"/>
          <w:szCs w:val="18"/>
        </w:rPr>
        <w:t>的议案》，监事会对本次激励计划的激励对象进行了核查，认为激励对象的主体资格合法、有效。</w:t>
      </w:r>
    </w:p>
    <w:p w:rsidR="008D4B2E" w:rsidRPr="00606927" w:rsidRDefault="008D4B2E" w:rsidP="00C067EE">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7</w:t>
      </w:r>
      <w:r w:rsidRPr="00606927">
        <w:rPr>
          <w:rFonts w:hint="eastAsia"/>
          <w:kern w:val="2"/>
          <w:sz w:val="18"/>
          <w:szCs w:val="18"/>
        </w:rPr>
        <w:t>月</w:t>
      </w:r>
      <w:r w:rsidRPr="00606927">
        <w:rPr>
          <w:kern w:val="2"/>
          <w:sz w:val="18"/>
          <w:szCs w:val="18"/>
        </w:rPr>
        <w:t>17</w:t>
      </w:r>
      <w:r w:rsidRPr="00606927">
        <w:rPr>
          <w:rFonts w:hint="eastAsia"/>
          <w:kern w:val="2"/>
          <w:sz w:val="18"/>
          <w:szCs w:val="18"/>
        </w:rPr>
        <w:t>日至</w:t>
      </w:r>
      <w:r w:rsidRPr="00606927">
        <w:rPr>
          <w:kern w:val="2"/>
          <w:sz w:val="18"/>
          <w:szCs w:val="18"/>
        </w:rPr>
        <w:t>2023</w:t>
      </w:r>
      <w:r w:rsidRPr="00606927">
        <w:rPr>
          <w:rFonts w:hint="eastAsia"/>
          <w:kern w:val="2"/>
          <w:sz w:val="18"/>
          <w:szCs w:val="18"/>
        </w:rPr>
        <w:t>年</w:t>
      </w:r>
      <w:r w:rsidRPr="00606927">
        <w:rPr>
          <w:kern w:val="2"/>
          <w:sz w:val="18"/>
          <w:szCs w:val="18"/>
        </w:rPr>
        <w:t>7</w:t>
      </w:r>
      <w:r w:rsidRPr="00606927">
        <w:rPr>
          <w:rFonts w:hint="eastAsia"/>
          <w:kern w:val="2"/>
          <w:sz w:val="18"/>
          <w:szCs w:val="18"/>
        </w:rPr>
        <w:t>月</w:t>
      </w:r>
      <w:r w:rsidRPr="00606927">
        <w:rPr>
          <w:kern w:val="2"/>
          <w:sz w:val="18"/>
          <w:szCs w:val="18"/>
        </w:rPr>
        <w:t>27</w:t>
      </w:r>
      <w:r w:rsidRPr="00606927">
        <w:rPr>
          <w:rFonts w:hint="eastAsia"/>
          <w:kern w:val="2"/>
          <w:sz w:val="18"/>
          <w:szCs w:val="18"/>
        </w:rPr>
        <w:t>日，公司对《软控股份有限公司</w:t>
      </w:r>
      <w:r w:rsidRPr="00606927">
        <w:rPr>
          <w:kern w:val="2"/>
          <w:sz w:val="18"/>
          <w:szCs w:val="18"/>
        </w:rPr>
        <w:t>2023</w:t>
      </w:r>
      <w:r w:rsidRPr="00606927">
        <w:rPr>
          <w:rFonts w:hint="eastAsia"/>
          <w:kern w:val="2"/>
          <w:sz w:val="18"/>
          <w:szCs w:val="18"/>
        </w:rPr>
        <w:t>年限制性股票激励计划激励对象名单》在公司内部进行了公示。公示期满，监事会未收到任何异议。公司于</w:t>
      </w:r>
      <w:r w:rsidRPr="00606927">
        <w:rPr>
          <w:kern w:val="2"/>
          <w:sz w:val="18"/>
          <w:szCs w:val="18"/>
        </w:rPr>
        <w:t>2023</w:t>
      </w:r>
      <w:r w:rsidRPr="00606927">
        <w:rPr>
          <w:rFonts w:hint="eastAsia"/>
          <w:kern w:val="2"/>
          <w:sz w:val="18"/>
          <w:szCs w:val="18"/>
        </w:rPr>
        <w:t>年</w:t>
      </w:r>
      <w:r w:rsidRPr="00606927">
        <w:rPr>
          <w:kern w:val="2"/>
          <w:sz w:val="18"/>
          <w:szCs w:val="18"/>
        </w:rPr>
        <w:t>8</w:t>
      </w:r>
      <w:r w:rsidRPr="00606927">
        <w:rPr>
          <w:rFonts w:hint="eastAsia"/>
          <w:kern w:val="2"/>
          <w:sz w:val="18"/>
          <w:szCs w:val="18"/>
        </w:rPr>
        <w:t>月</w:t>
      </w:r>
      <w:r w:rsidRPr="00606927">
        <w:rPr>
          <w:kern w:val="2"/>
          <w:sz w:val="18"/>
          <w:szCs w:val="18"/>
        </w:rPr>
        <w:t>11</w:t>
      </w:r>
      <w:r w:rsidRPr="00606927">
        <w:rPr>
          <w:rFonts w:hint="eastAsia"/>
          <w:kern w:val="2"/>
          <w:sz w:val="18"/>
          <w:szCs w:val="18"/>
        </w:rPr>
        <w:t>日披露了《软控股份有限公司第八届监事会第十一次会议决议公告》（公告编号：</w:t>
      </w:r>
      <w:r w:rsidRPr="00606927">
        <w:rPr>
          <w:kern w:val="2"/>
          <w:sz w:val="18"/>
          <w:szCs w:val="18"/>
        </w:rPr>
        <w:t>2023-042</w:t>
      </w:r>
      <w:r w:rsidRPr="00606927">
        <w:rPr>
          <w:rFonts w:hint="eastAsia"/>
          <w:kern w:val="2"/>
          <w:sz w:val="18"/>
          <w:szCs w:val="18"/>
        </w:rPr>
        <w:t>）《监事会关于</w:t>
      </w:r>
      <w:r w:rsidRPr="00606927">
        <w:rPr>
          <w:kern w:val="2"/>
          <w:sz w:val="18"/>
          <w:szCs w:val="18"/>
        </w:rPr>
        <w:t>2023</w:t>
      </w:r>
      <w:r w:rsidRPr="00606927">
        <w:rPr>
          <w:rFonts w:hint="eastAsia"/>
          <w:kern w:val="2"/>
          <w:sz w:val="18"/>
          <w:szCs w:val="18"/>
        </w:rPr>
        <w:t>年限制性股票激励计划激励对象名单的公示情况说明及核查意见的公告》（公告编号：</w:t>
      </w:r>
      <w:r w:rsidRPr="00606927">
        <w:rPr>
          <w:kern w:val="2"/>
          <w:sz w:val="18"/>
          <w:szCs w:val="18"/>
        </w:rPr>
        <w:t>2023-043</w:t>
      </w:r>
      <w:r w:rsidRPr="00606927">
        <w:rPr>
          <w:rFonts w:hint="eastAsia"/>
          <w:kern w:val="2"/>
          <w:sz w:val="18"/>
          <w:szCs w:val="18"/>
        </w:rPr>
        <w:t>）。</w:t>
      </w:r>
    </w:p>
    <w:p w:rsidR="008D4B2E" w:rsidRPr="00606927" w:rsidRDefault="008D4B2E" w:rsidP="00C067EE">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8</w:t>
      </w:r>
      <w:r w:rsidRPr="00606927">
        <w:rPr>
          <w:rFonts w:hint="eastAsia"/>
          <w:kern w:val="2"/>
          <w:sz w:val="18"/>
          <w:szCs w:val="18"/>
        </w:rPr>
        <w:t>月</w:t>
      </w:r>
      <w:r w:rsidRPr="00606927">
        <w:rPr>
          <w:kern w:val="2"/>
          <w:sz w:val="18"/>
          <w:szCs w:val="18"/>
        </w:rPr>
        <w:t>15</w:t>
      </w:r>
      <w:r w:rsidRPr="00606927">
        <w:rPr>
          <w:rFonts w:hint="eastAsia"/>
          <w:kern w:val="2"/>
          <w:sz w:val="18"/>
          <w:szCs w:val="18"/>
        </w:rPr>
        <w:t>日，公司召开</w:t>
      </w:r>
      <w:r w:rsidRPr="00606927">
        <w:rPr>
          <w:kern w:val="2"/>
          <w:sz w:val="18"/>
          <w:szCs w:val="18"/>
        </w:rPr>
        <w:t>2023</w:t>
      </w:r>
      <w:r w:rsidRPr="00606927">
        <w:rPr>
          <w:rFonts w:hint="eastAsia"/>
          <w:kern w:val="2"/>
          <w:sz w:val="18"/>
          <w:szCs w:val="18"/>
        </w:rPr>
        <w:t>年第一次临时股东大会，审议并通过了《关于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年限制性股票激励计划（草案）</w:t>
      </w:r>
      <w:r w:rsidRPr="00606927">
        <w:rPr>
          <w:kern w:val="2"/>
          <w:sz w:val="18"/>
          <w:szCs w:val="18"/>
        </w:rPr>
        <w:t>〉</w:t>
      </w:r>
      <w:r w:rsidRPr="00606927">
        <w:rPr>
          <w:rFonts w:hint="eastAsia"/>
          <w:kern w:val="2"/>
          <w:sz w:val="18"/>
          <w:szCs w:val="18"/>
        </w:rPr>
        <w:t>及其摘要的议案》《关于</w:t>
      </w:r>
      <w:r w:rsidRPr="00606927">
        <w:rPr>
          <w:kern w:val="2"/>
          <w:sz w:val="18"/>
          <w:szCs w:val="18"/>
        </w:rPr>
        <w:t>〈</w:t>
      </w:r>
      <w:r w:rsidRPr="00606927">
        <w:rPr>
          <w:rFonts w:hint="eastAsia"/>
          <w:kern w:val="2"/>
          <w:sz w:val="18"/>
          <w:szCs w:val="18"/>
        </w:rPr>
        <w:t>软控股份有限公司</w:t>
      </w:r>
      <w:r w:rsidRPr="00606927">
        <w:rPr>
          <w:kern w:val="2"/>
          <w:sz w:val="18"/>
          <w:szCs w:val="18"/>
        </w:rPr>
        <w:t>2023</w:t>
      </w:r>
      <w:r w:rsidRPr="00606927">
        <w:rPr>
          <w:rFonts w:hint="eastAsia"/>
          <w:kern w:val="2"/>
          <w:sz w:val="18"/>
          <w:szCs w:val="18"/>
        </w:rPr>
        <w:t>年限制性股票激励计划实施考核管理办法</w:t>
      </w:r>
      <w:r w:rsidRPr="00606927">
        <w:rPr>
          <w:kern w:val="2"/>
          <w:sz w:val="18"/>
          <w:szCs w:val="18"/>
        </w:rPr>
        <w:t>〉</w:t>
      </w:r>
      <w:r w:rsidRPr="00606927">
        <w:rPr>
          <w:rFonts w:hint="eastAsia"/>
          <w:kern w:val="2"/>
          <w:sz w:val="18"/>
          <w:szCs w:val="18"/>
        </w:rPr>
        <w:t>的议案》《关于提请股东大会授权董事会办理股权激励相关事宜的议案》。公司就本激励计划内幕信息知情人及激励对象在本激励计划草案公开披露前</w:t>
      </w:r>
      <w:r w:rsidRPr="00606927">
        <w:rPr>
          <w:kern w:val="2"/>
          <w:sz w:val="18"/>
          <w:szCs w:val="18"/>
        </w:rPr>
        <w:t>6</w:t>
      </w:r>
      <w:r w:rsidRPr="00606927">
        <w:rPr>
          <w:rFonts w:hint="eastAsia"/>
          <w:kern w:val="2"/>
          <w:sz w:val="18"/>
          <w:szCs w:val="18"/>
        </w:rPr>
        <w:t>个月内买卖公司股票的情况进行了自查，并于</w:t>
      </w:r>
      <w:r w:rsidRPr="00606927">
        <w:rPr>
          <w:kern w:val="2"/>
          <w:sz w:val="18"/>
          <w:szCs w:val="18"/>
        </w:rPr>
        <w:t>2023</w:t>
      </w:r>
      <w:r w:rsidRPr="00606927">
        <w:rPr>
          <w:rFonts w:hint="eastAsia"/>
          <w:kern w:val="2"/>
          <w:sz w:val="18"/>
          <w:szCs w:val="18"/>
        </w:rPr>
        <w:t>年</w:t>
      </w:r>
      <w:r w:rsidRPr="00606927">
        <w:rPr>
          <w:kern w:val="2"/>
          <w:sz w:val="18"/>
          <w:szCs w:val="18"/>
        </w:rPr>
        <w:t>8</w:t>
      </w:r>
      <w:r w:rsidRPr="00606927">
        <w:rPr>
          <w:rFonts w:hint="eastAsia"/>
          <w:kern w:val="2"/>
          <w:sz w:val="18"/>
          <w:szCs w:val="18"/>
        </w:rPr>
        <w:t>月</w:t>
      </w:r>
      <w:r w:rsidRPr="00606927">
        <w:rPr>
          <w:kern w:val="2"/>
          <w:sz w:val="18"/>
          <w:szCs w:val="18"/>
        </w:rPr>
        <w:t>16</w:t>
      </w:r>
      <w:r w:rsidRPr="00606927">
        <w:rPr>
          <w:rFonts w:hint="eastAsia"/>
          <w:kern w:val="2"/>
          <w:sz w:val="18"/>
          <w:szCs w:val="18"/>
        </w:rPr>
        <w:t>日披露了《关于</w:t>
      </w:r>
      <w:r w:rsidRPr="00606927">
        <w:rPr>
          <w:kern w:val="2"/>
          <w:sz w:val="18"/>
          <w:szCs w:val="18"/>
        </w:rPr>
        <w:t>2023</w:t>
      </w:r>
      <w:r w:rsidRPr="00606927">
        <w:rPr>
          <w:rFonts w:hint="eastAsia"/>
          <w:kern w:val="2"/>
          <w:sz w:val="18"/>
          <w:szCs w:val="18"/>
        </w:rPr>
        <w:t>年限制性股票激励计划内幕信息知情人及激励对象买卖公司股票情况的自查报告》（公告编号：</w:t>
      </w:r>
      <w:r w:rsidRPr="00606927">
        <w:rPr>
          <w:kern w:val="2"/>
          <w:sz w:val="18"/>
          <w:szCs w:val="18"/>
        </w:rPr>
        <w:t>2023-046</w:t>
      </w:r>
      <w:r w:rsidRPr="00606927">
        <w:rPr>
          <w:rFonts w:hint="eastAsia"/>
          <w:kern w:val="2"/>
          <w:sz w:val="18"/>
          <w:szCs w:val="18"/>
        </w:rPr>
        <w:t>）。</w:t>
      </w:r>
    </w:p>
    <w:p w:rsidR="008D4B2E" w:rsidRPr="00606927" w:rsidRDefault="008D4B2E" w:rsidP="00606927">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8</w:t>
      </w:r>
      <w:r w:rsidRPr="00606927">
        <w:rPr>
          <w:rFonts w:hint="eastAsia"/>
          <w:kern w:val="2"/>
          <w:sz w:val="18"/>
          <w:szCs w:val="18"/>
        </w:rPr>
        <w:t>月</w:t>
      </w:r>
      <w:r w:rsidRPr="00606927">
        <w:rPr>
          <w:kern w:val="2"/>
          <w:sz w:val="18"/>
          <w:szCs w:val="18"/>
        </w:rPr>
        <w:t>28</w:t>
      </w:r>
      <w:r w:rsidRPr="00606927">
        <w:rPr>
          <w:rFonts w:hint="eastAsia"/>
          <w:kern w:val="2"/>
          <w:sz w:val="18"/>
          <w:szCs w:val="18"/>
        </w:rPr>
        <w:t>日，公司召开第八届董事会第十一次会议和第八届监事会第十三次会议，审议通过了《关于向激励对象授予限制性股票的议案》。根据公司</w:t>
      </w:r>
      <w:r w:rsidRPr="00606927">
        <w:rPr>
          <w:kern w:val="2"/>
          <w:sz w:val="18"/>
          <w:szCs w:val="18"/>
        </w:rPr>
        <w:t>2023</w:t>
      </w:r>
      <w:r w:rsidRPr="00606927">
        <w:rPr>
          <w:rFonts w:hint="eastAsia"/>
          <w:kern w:val="2"/>
          <w:sz w:val="18"/>
          <w:szCs w:val="18"/>
        </w:rPr>
        <w:t>年第一次临时股东大会的授权，董事会确定本激励计划的授予日为</w:t>
      </w:r>
      <w:r w:rsidRPr="00606927">
        <w:rPr>
          <w:kern w:val="2"/>
          <w:sz w:val="18"/>
          <w:szCs w:val="18"/>
        </w:rPr>
        <w:t>2023</w:t>
      </w:r>
      <w:r w:rsidRPr="00606927">
        <w:rPr>
          <w:rFonts w:hint="eastAsia"/>
          <w:kern w:val="2"/>
          <w:sz w:val="18"/>
          <w:szCs w:val="18"/>
        </w:rPr>
        <w:t>年</w:t>
      </w:r>
      <w:r w:rsidRPr="00606927">
        <w:rPr>
          <w:kern w:val="2"/>
          <w:sz w:val="18"/>
          <w:szCs w:val="18"/>
        </w:rPr>
        <w:t>8</w:t>
      </w:r>
      <w:r w:rsidRPr="00606927">
        <w:rPr>
          <w:rFonts w:hint="eastAsia"/>
          <w:kern w:val="2"/>
          <w:sz w:val="18"/>
          <w:szCs w:val="18"/>
        </w:rPr>
        <w:t>月</w:t>
      </w:r>
      <w:r w:rsidRPr="00606927">
        <w:rPr>
          <w:kern w:val="2"/>
          <w:sz w:val="18"/>
          <w:szCs w:val="18"/>
        </w:rPr>
        <w:t>28</w:t>
      </w:r>
      <w:r w:rsidRPr="00606927">
        <w:rPr>
          <w:rFonts w:hint="eastAsia"/>
          <w:kern w:val="2"/>
          <w:sz w:val="18"/>
          <w:szCs w:val="18"/>
        </w:rPr>
        <w:t>日，向符合条件的</w:t>
      </w:r>
      <w:r w:rsidRPr="00606927">
        <w:rPr>
          <w:kern w:val="2"/>
          <w:sz w:val="18"/>
          <w:szCs w:val="18"/>
        </w:rPr>
        <w:t>51</w:t>
      </w:r>
      <w:r w:rsidRPr="00606927">
        <w:rPr>
          <w:rFonts w:hint="eastAsia"/>
          <w:kern w:val="2"/>
          <w:sz w:val="18"/>
          <w:szCs w:val="18"/>
        </w:rPr>
        <w:t>名激励对象授予</w:t>
      </w:r>
      <w:r w:rsidRPr="00606927">
        <w:rPr>
          <w:kern w:val="2"/>
          <w:sz w:val="18"/>
          <w:szCs w:val="18"/>
        </w:rPr>
        <w:t>3,750.00</w:t>
      </w:r>
      <w:r w:rsidRPr="00606927">
        <w:rPr>
          <w:rFonts w:hint="eastAsia"/>
          <w:kern w:val="2"/>
          <w:sz w:val="18"/>
          <w:szCs w:val="18"/>
        </w:rPr>
        <w:t>万股限制性股票，授予价格为</w:t>
      </w:r>
      <w:r w:rsidRPr="00606927">
        <w:rPr>
          <w:kern w:val="2"/>
          <w:sz w:val="18"/>
          <w:szCs w:val="18"/>
        </w:rPr>
        <w:t>4.00</w:t>
      </w:r>
      <w:r w:rsidRPr="00606927">
        <w:rPr>
          <w:rFonts w:hint="eastAsia"/>
          <w:kern w:val="2"/>
          <w:sz w:val="18"/>
          <w:szCs w:val="18"/>
        </w:rPr>
        <w:t>元</w:t>
      </w:r>
      <w:r w:rsidRPr="00606927">
        <w:rPr>
          <w:kern w:val="2"/>
          <w:sz w:val="18"/>
          <w:szCs w:val="18"/>
        </w:rPr>
        <w:t>/</w:t>
      </w:r>
      <w:r w:rsidRPr="00606927">
        <w:rPr>
          <w:rFonts w:hint="eastAsia"/>
          <w:kern w:val="2"/>
          <w:sz w:val="18"/>
          <w:szCs w:val="18"/>
        </w:rPr>
        <w:t>股。公司独立董事对此发表了独立意见，公司监事会对授予的激励对象名单及授予事项进行审核并发表了核查意见。</w:t>
      </w:r>
    </w:p>
    <w:p w:rsidR="008D4B2E" w:rsidRPr="00606927" w:rsidRDefault="008D4B2E" w:rsidP="00606927">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9</w:t>
      </w:r>
      <w:r w:rsidRPr="00606927">
        <w:rPr>
          <w:rFonts w:hint="eastAsia"/>
          <w:kern w:val="2"/>
          <w:sz w:val="18"/>
          <w:szCs w:val="18"/>
        </w:rPr>
        <w:t>月</w:t>
      </w:r>
      <w:r w:rsidRPr="00606927">
        <w:rPr>
          <w:kern w:val="2"/>
          <w:sz w:val="18"/>
          <w:szCs w:val="18"/>
        </w:rPr>
        <w:t>20</w:t>
      </w:r>
      <w:r w:rsidRPr="00606927">
        <w:rPr>
          <w:rFonts w:hint="eastAsia"/>
          <w:kern w:val="2"/>
          <w:sz w:val="18"/>
          <w:szCs w:val="18"/>
        </w:rPr>
        <w:t>日，公司召开第八届董事会第十二次会议和第八届监事会第十四次会议，审议通过了《关于公司</w:t>
      </w:r>
      <w:r w:rsidRPr="00606927">
        <w:rPr>
          <w:kern w:val="2"/>
          <w:sz w:val="18"/>
          <w:szCs w:val="18"/>
        </w:rPr>
        <w:t>2022</w:t>
      </w:r>
      <w:r w:rsidRPr="00606927">
        <w:rPr>
          <w:rFonts w:hint="eastAsia"/>
          <w:kern w:val="2"/>
          <w:sz w:val="18"/>
          <w:szCs w:val="18"/>
        </w:rPr>
        <w:t>年股票期权与限制性股票激励计划第一个行权期期权行权条件成就及调整行权价格的议案》《关于公司</w:t>
      </w:r>
      <w:r w:rsidRPr="00606927">
        <w:rPr>
          <w:kern w:val="2"/>
          <w:sz w:val="18"/>
          <w:szCs w:val="18"/>
        </w:rPr>
        <w:t>2022</w:t>
      </w:r>
      <w:r w:rsidRPr="00606927">
        <w:rPr>
          <w:rFonts w:hint="eastAsia"/>
          <w:kern w:val="2"/>
          <w:sz w:val="18"/>
          <w:szCs w:val="18"/>
        </w:rPr>
        <w:t>年股票期权与限制性股票激励计划第一个解除限售期解除限售条件成就的议案》，董事会认为本次激励计划第一个行权期行权条件及第一个解除限售期解除限售条件已经成就，本次符合行权条件的激励对象共</w:t>
      </w:r>
      <w:r w:rsidRPr="00606927">
        <w:rPr>
          <w:kern w:val="2"/>
          <w:sz w:val="18"/>
          <w:szCs w:val="18"/>
        </w:rPr>
        <w:t>248</w:t>
      </w:r>
      <w:r w:rsidRPr="00606927">
        <w:rPr>
          <w:rFonts w:hint="eastAsia"/>
          <w:kern w:val="2"/>
          <w:sz w:val="18"/>
          <w:szCs w:val="18"/>
        </w:rPr>
        <w:t>人，可行权的股票期权数量为</w:t>
      </w:r>
      <w:r w:rsidRPr="00606927">
        <w:rPr>
          <w:kern w:val="2"/>
          <w:sz w:val="18"/>
          <w:szCs w:val="18"/>
        </w:rPr>
        <w:t>947.20</w:t>
      </w:r>
      <w:r w:rsidRPr="00606927">
        <w:rPr>
          <w:rFonts w:hint="eastAsia"/>
          <w:kern w:val="2"/>
          <w:sz w:val="18"/>
          <w:szCs w:val="18"/>
        </w:rPr>
        <w:t>万份；本</w:t>
      </w:r>
      <w:r w:rsidRPr="00606927">
        <w:rPr>
          <w:rFonts w:hint="eastAsia"/>
          <w:kern w:val="2"/>
          <w:sz w:val="18"/>
          <w:szCs w:val="18"/>
        </w:rPr>
        <w:lastRenderedPageBreak/>
        <w:t>次符合解除限售条件的激励对象共</w:t>
      </w:r>
      <w:r w:rsidRPr="00606927">
        <w:rPr>
          <w:kern w:val="2"/>
          <w:sz w:val="18"/>
          <w:szCs w:val="18"/>
        </w:rPr>
        <w:t>244</w:t>
      </w:r>
      <w:r w:rsidRPr="00606927">
        <w:rPr>
          <w:rFonts w:hint="eastAsia"/>
          <w:kern w:val="2"/>
          <w:sz w:val="18"/>
          <w:szCs w:val="18"/>
        </w:rPr>
        <w:t>人，可解除限售的限制性股票数量为</w:t>
      </w:r>
      <w:r w:rsidRPr="00606927">
        <w:rPr>
          <w:kern w:val="2"/>
          <w:sz w:val="18"/>
          <w:szCs w:val="18"/>
        </w:rPr>
        <w:t>636.40</w:t>
      </w:r>
      <w:r w:rsidRPr="00606927">
        <w:rPr>
          <w:rFonts w:hint="eastAsia"/>
          <w:kern w:val="2"/>
          <w:sz w:val="18"/>
          <w:szCs w:val="18"/>
        </w:rPr>
        <w:t>万股。公司独立董事对相关事项发表了同意的独立意见</w:t>
      </w:r>
      <w:r w:rsidRPr="00606927">
        <w:rPr>
          <w:kern w:val="2"/>
          <w:sz w:val="18"/>
          <w:szCs w:val="18"/>
        </w:rPr>
        <w:t>,</w:t>
      </w:r>
      <w:r w:rsidRPr="00606927">
        <w:rPr>
          <w:rFonts w:hint="eastAsia"/>
          <w:kern w:val="2"/>
          <w:sz w:val="18"/>
          <w:szCs w:val="18"/>
        </w:rPr>
        <w:t>监事会对相关事项并发表了核查意见。</w:t>
      </w:r>
    </w:p>
    <w:p w:rsidR="008D4B2E" w:rsidRPr="00606927" w:rsidRDefault="008D4B2E" w:rsidP="00606927">
      <w:pPr>
        <w:pStyle w:val="a3"/>
        <w:spacing w:before="0" w:beforeAutospacing="0" w:after="0" w:afterAutospacing="0"/>
        <w:ind w:firstLineChars="200" w:firstLine="360"/>
        <w:jc w:val="both"/>
        <w:divId w:val="824975226"/>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10</w:t>
      </w:r>
      <w:r w:rsidRPr="00606927">
        <w:rPr>
          <w:rFonts w:hint="eastAsia"/>
          <w:kern w:val="2"/>
          <w:sz w:val="18"/>
          <w:szCs w:val="18"/>
        </w:rPr>
        <w:t>月</w:t>
      </w:r>
      <w:r w:rsidRPr="00606927">
        <w:rPr>
          <w:kern w:val="2"/>
          <w:sz w:val="18"/>
          <w:szCs w:val="18"/>
        </w:rPr>
        <w:t>23</w:t>
      </w:r>
      <w:r w:rsidRPr="00606927">
        <w:rPr>
          <w:rFonts w:hint="eastAsia"/>
          <w:kern w:val="2"/>
          <w:sz w:val="18"/>
          <w:szCs w:val="18"/>
        </w:rPr>
        <w:t>日，公司召开第八届董事会第十三次会议和第八届监事会第十五次会议，审议通过了《关于公司</w:t>
      </w:r>
      <w:r w:rsidRPr="00606927">
        <w:rPr>
          <w:kern w:val="2"/>
          <w:sz w:val="18"/>
          <w:szCs w:val="18"/>
        </w:rPr>
        <w:t>2021</w:t>
      </w:r>
      <w:r w:rsidRPr="00606927">
        <w:rPr>
          <w:rFonts w:hint="eastAsia"/>
          <w:kern w:val="2"/>
          <w:sz w:val="18"/>
          <w:szCs w:val="18"/>
        </w:rPr>
        <w:t>年限制性股票激励计划第二个解除限售期解除限售条件成就的议案》，董事会认为公司</w:t>
      </w:r>
      <w:r w:rsidRPr="00606927">
        <w:rPr>
          <w:kern w:val="2"/>
          <w:sz w:val="18"/>
          <w:szCs w:val="18"/>
        </w:rPr>
        <w:t>2021</w:t>
      </w:r>
      <w:r w:rsidRPr="00606927">
        <w:rPr>
          <w:rFonts w:hint="eastAsia"/>
          <w:kern w:val="2"/>
          <w:sz w:val="18"/>
          <w:szCs w:val="18"/>
        </w:rPr>
        <w:t>年限制性股票激励计划第二个解除限售期解除限售条件已成就，本次符合解除限售条件的激励对象共</w:t>
      </w:r>
      <w:r w:rsidRPr="00606927">
        <w:rPr>
          <w:kern w:val="2"/>
          <w:sz w:val="18"/>
          <w:szCs w:val="18"/>
        </w:rPr>
        <w:t>20</w:t>
      </w:r>
      <w:r w:rsidRPr="00606927">
        <w:rPr>
          <w:rFonts w:hint="eastAsia"/>
          <w:kern w:val="2"/>
          <w:sz w:val="18"/>
          <w:szCs w:val="18"/>
        </w:rPr>
        <w:t>人，可解除限售的限制性股票数量为</w:t>
      </w:r>
      <w:r w:rsidRPr="00606927">
        <w:rPr>
          <w:kern w:val="2"/>
          <w:sz w:val="18"/>
          <w:szCs w:val="18"/>
        </w:rPr>
        <w:t>588.00</w:t>
      </w:r>
      <w:r w:rsidRPr="00606927">
        <w:rPr>
          <w:rFonts w:hint="eastAsia"/>
          <w:kern w:val="2"/>
          <w:sz w:val="18"/>
          <w:szCs w:val="18"/>
        </w:rPr>
        <w:t>万股。公司监事会对相关事项并发表了核查意见。</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股份变动的过户情况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606927" w:rsidRDefault="008D4B2E" w:rsidP="00606927">
      <w:pPr>
        <w:pStyle w:val="a3"/>
        <w:ind w:firstLineChars="200" w:firstLine="360"/>
        <w:divId w:val="267783025"/>
        <w:rPr>
          <w:kern w:val="2"/>
          <w:sz w:val="18"/>
          <w:szCs w:val="18"/>
        </w:rPr>
      </w:pPr>
      <w:r w:rsidRPr="00606927">
        <w:rPr>
          <w:kern w:val="2"/>
          <w:sz w:val="18"/>
          <w:szCs w:val="18"/>
        </w:rPr>
        <w:t>2023</w:t>
      </w:r>
      <w:r w:rsidRPr="00606927">
        <w:rPr>
          <w:rFonts w:hint="eastAsia"/>
          <w:kern w:val="2"/>
          <w:sz w:val="18"/>
          <w:szCs w:val="18"/>
        </w:rPr>
        <w:t>年</w:t>
      </w:r>
      <w:r w:rsidRPr="00606927">
        <w:rPr>
          <w:kern w:val="2"/>
          <w:sz w:val="18"/>
          <w:szCs w:val="18"/>
        </w:rPr>
        <w:t>7</w:t>
      </w:r>
      <w:r w:rsidRPr="00606927">
        <w:rPr>
          <w:rFonts w:hint="eastAsia"/>
          <w:kern w:val="2"/>
          <w:sz w:val="18"/>
          <w:szCs w:val="18"/>
        </w:rPr>
        <w:t>月</w:t>
      </w:r>
      <w:r w:rsidRPr="00606927">
        <w:rPr>
          <w:kern w:val="2"/>
          <w:sz w:val="18"/>
          <w:szCs w:val="18"/>
        </w:rPr>
        <w:t>18</w:t>
      </w:r>
      <w:r w:rsidRPr="00606927">
        <w:rPr>
          <w:rFonts w:hint="eastAsia"/>
          <w:kern w:val="2"/>
          <w:sz w:val="18"/>
          <w:szCs w:val="18"/>
        </w:rPr>
        <w:t>日，公司披露了《关于注销部分股票期权和回购注销部分限制性股票完成的公告》，因3名激励对象离职，公司完成了对其</w:t>
      </w:r>
      <w:proofErr w:type="gramStart"/>
      <w:r w:rsidRPr="00606927">
        <w:rPr>
          <w:rFonts w:hint="eastAsia"/>
          <w:kern w:val="2"/>
          <w:sz w:val="18"/>
          <w:szCs w:val="18"/>
        </w:rPr>
        <w:t>已获授但尚未</w:t>
      </w:r>
      <w:proofErr w:type="gramEnd"/>
      <w:r w:rsidRPr="00606927">
        <w:rPr>
          <w:rFonts w:hint="eastAsia"/>
          <w:kern w:val="2"/>
          <w:sz w:val="18"/>
          <w:szCs w:val="18"/>
        </w:rPr>
        <w:t>解除限售的限制性股票合计10,000股予以回购注销，其</w:t>
      </w:r>
      <w:proofErr w:type="gramStart"/>
      <w:r w:rsidRPr="00606927">
        <w:rPr>
          <w:rFonts w:hint="eastAsia"/>
          <w:kern w:val="2"/>
          <w:sz w:val="18"/>
          <w:szCs w:val="18"/>
        </w:rPr>
        <w:t>已获授但尚未</w:t>
      </w:r>
      <w:proofErr w:type="gramEnd"/>
      <w:r w:rsidRPr="00606927">
        <w:rPr>
          <w:rFonts w:hint="eastAsia"/>
          <w:kern w:val="2"/>
          <w:sz w:val="18"/>
          <w:szCs w:val="18"/>
        </w:rPr>
        <w:t>行权的股票期权合计200,000份予以注销。</w:t>
      </w:r>
    </w:p>
    <w:p w:rsidR="008D4B2E" w:rsidRPr="00606927" w:rsidRDefault="008D4B2E" w:rsidP="00606927">
      <w:pPr>
        <w:pStyle w:val="a3"/>
        <w:ind w:firstLineChars="200" w:firstLine="360"/>
        <w:divId w:val="267783025"/>
        <w:rPr>
          <w:kern w:val="2"/>
          <w:sz w:val="18"/>
          <w:szCs w:val="18"/>
        </w:rPr>
      </w:pPr>
      <w:r w:rsidRPr="00606927">
        <w:rPr>
          <w:rFonts w:hint="eastAsia"/>
          <w:kern w:val="2"/>
          <w:sz w:val="18"/>
          <w:szCs w:val="18"/>
        </w:rPr>
        <w:t>2023年10月19日，公司披露了《关于2023年限制性股票激励计划限制性股票授予登记完成的公告》，公司完成了2023年限制性股票的登记工作，本次实际向51名激励对象授予3,750万股限制性股票，该次授予的限制性股票的上市日为2022年10月20日。</w:t>
      </w:r>
    </w:p>
    <w:p w:rsidR="00BA0365" w:rsidRDefault="008D4B2E" w:rsidP="00606927">
      <w:pPr>
        <w:pStyle w:val="a3"/>
        <w:spacing w:before="0" w:beforeAutospacing="0" w:after="0" w:afterAutospacing="0"/>
        <w:rPr>
          <w:sz w:val="18"/>
          <w:szCs w:val="18"/>
        </w:rPr>
      </w:pPr>
      <w:r>
        <w:rPr>
          <w:sz w:val="18"/>
          <w:szCs w:val="18"/>
        </w:rPr>
        <w:t>股份变动对最近一年和最近一期基本每股收益和稀释每股收益、归属于公司普通股股东的每股净资产等财务指标的影响</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公司认为必要或证券监管机构要求披露的其他内容</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134" w:name="_Toc989023"/>
      <w:r>
        <w:rPr>
          <w:rFonts w:ascii="宋体" w:hAnsi="宋体" w:cs="宋体"/>
          <w:b/>
          <w:bCs/>
        </w:rPr>
        <w:t>2、限售股份变动情况</w:t>
      </w:r>
      <w:bookmarkEnd w:id="13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134"/>
        <w:gridCol w:w="1134"/>
        <w:gridCol w:w="1134"/>
        <w:gridCol w:w="1559"/>
        <w:gridCol w:w="2443"/>
      </w:tblGrid>
      <w:tr w:rsidR="00157EA0" w:rsidTr="007E18D0">
        <w:trPr>
          <w:trHeight w:val="240"/>
        </w:trPr>
        <w:tc>
          <w:tcPr>
            <w:tcW w:w="1101"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1134"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期初限售股数</w:t>
            </w:r>
          </w:p>
        </w:tc>
        <w:tc>
          <w:tcPr>
            <w:tcW w:w="1134"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本期增加限售股数</w:t>
            </w:r>
          </w:p>
        </w:tc>
        <w:tc>
          <w:tcPr>
            <w:tcW w:w="1134"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本期解除限售股数</w:t>
            </w:r>
          </w:p>
        </w:tc>
        <w:tc>
          <w:tcPr>
            <w:tcW w:w="1134"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期末限售股数</w:t>
            </w:r>
          </w:p>
        </w:tc>
        <w:tc>
          <w:tcPr>
            <w:tcW w:w="1559"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限售原因</w:t>
            </w:r>
          </w:p>
        </w:tc>
        <w:tc>
          <w:tcPr>
            <w:tcW w:w="2443"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解除限售日期</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官</w:t>
            </w:r>
            <w:proofErr w:type="gramStart"/>
            <w:r>
              <w:rPr>
                <w:rFonts w:ascii="宋体" w:eastAsia="宋体" w:hAnsi="宋体" w:cs="宋体"/>
                <w:sz w:val="18"/>
                <w:szCs w:val="18"/>
              </w:rPr>
              <w:t>炳</w:t>
            </w:r>
            <w:proofErr w:type="gramEnd"/>
            <w:r>
              <w:rPr>
                <w:rFonts w:ascii="宋体" w:eastAsia="宋体" w:hAnsi="宋体" w:cs="宋体"/>
                <w:sz w:val="18"/>
                <w:szCs w:val="18"/>
              </w:rPr>
              <w:t>政</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杨慧丽</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1,900,000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张垚</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1,900,000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李云涛</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向坤宏</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刘峰</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武守涛</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王志明</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鲁丽娜</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254,600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204,600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高管</w:t>
            </w:r>
            <w:proofErr w:type="gramStart"/>
            <w:r>
              <w:rPr>
                <w:rFonts w:ascii="宋体" w:eastAsia="宋体" w:hAnsi="宋体" w:cs="宋体"/>
                <w:sz w:val="18"/>
                <w:szCs w:val="18"/>
              </w:rPr>
              <w:t>锁定股</w:t>
            </w:r>
            <w:proofErr w:type="gramEnd"/>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按照股权激励解锁日期及高管法定解锁日期解除限售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核心业务人员和骨干员工</w:t>
            </w:r>
            <w:r>
              <w:rPr>
                <w:rFonts w:ascii="宋体" w:eastAsia="宋体" w:hAnsi="宋体" w:cs="宋体"/>
                <w:sz w:val="18"/>
                <w:szCs w:val="18"/>
              </w:rPr>
              <w:lastRenderedPageBreak/>
              <w:t>（17人）</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9,840,000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4,920,000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4,920,000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核心业务人员和骨干员工（235人）</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13,520,000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5,404,000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8,106,000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按照股权激励解锁日期解除限售</w:t>
            </w:r>
          </w:p>
        </w:tc>
      </w:tr>
      <w:tr w:rsidR="00157EA0" w:rsidTr="007E18D0">
        <w:trPr>
          <w:trHeight w:val="240"/>
        </w:trPr>
        <w:tc>
          <w:tcPr>
            <w:tcW w:w="1101"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核心业务人员和骨干员工（47人）</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29,500,000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29,500,000</w:t>
            </w:r>
          </w:p>
        </w:tc>
        <w:tc>
          <w:tcPr>
            <w:tcW w:w="1559"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股权激励限售股</w:t>
            </w:r>
          </w:p>
        </w:tc>
        <w:tc>
          <w:tcPr>
            <w:tcW w:w="2443" w:type="dxa"/>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按照股权激励解锁日期解除限售</w:t>
            </w:r>
          </w:p>
        </w:tc>
      </w:tr>
      <w:tr w:rsidR="00157EA0" w:rsidTr="007E18D0">
        <w:trPr>
          <w:trHeight w:val="240"/>
        </w:trPr>
        <w:tc>
          <w:tcPr>
            <w:tcW w:w="1101"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28,214,600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37,490,000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10,924,000</w:t>
            </w:r>
          </w:p>
        </w:tc>
        <w:tc>
          <w:tcPr>
            <w:tcW w:w="1134"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54,780,600</w:t>
            </w:r>
          </w:p>
        </w:tc>
        <w:tc>
          <w:tcPr>
            <w:tcW w:w="1559"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2443" w:type="dxa"/>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pStyle w:val="2"/>
        <w:spacing w:before="300" w:after="300" w:line="320" w:lineRule="exact"/>
        <w:rPr>
          <w:rFonts w:ascii="宋体" w:eastAsia="宋体" w:hAnsi="宋体" w:cs="宋体"/>
          <w:b/>
          <w:bCs/>
          <w:sz w:val="24"/>
          <w:szCs w:val="24"/>
        </w:rPr>
      </w:pPr>
      <w:bookmarkStart w:id="135" w:name="_Toc989024"/>
      <w:r>
        <w:rPr>
          <w:rFonts w:ascii="宋体" w:eastAsia="宋体" w:hAnsi="宋体" w:cs="宋体"/>
          <w:b/>
          <w:bCs/>
          <w:sz w:val="24"/>
          <w:szCs w:val="24"/>
        </w:rPr>
        <w:t>二、证券发行与上市情况</w:t>
      </w:r>
      <w:bookmarkEnd w:id="135"/>
    </w:p>
    <w:p w:rsidR="00BA0365" w:rsidRDefault="008D4B2E">
      <w:pPr>
        <w:pStyle w:val="3"/>
        <w:spacing w:line="280" w:lineRule="exact"/>
        <w:jc w:val="left"/>
        <w:rPr>
          <w:rFonts w:ascii="宋体" w:hAnsi="宋体" w:cs="宋体"/>
          <w:b/>
          <w:bCs/>
        </w:rPr>
      </w:pPr>
      <w:bookmarkStart w:id="136" w:name="_Toc989025"/>
      <w:r>
        <w:rPr>
          <w:rFonts w:ascii="宋体" w:hAnsi="宋体" w:cs="宋体"/>
          <w:b/>
          <w:bCs/>
        </w:rPr>
        <w:t>1、报告期内证券发行（不含优先股）情况</w:t>
      </w:r>
      <w:bookmarkEnd w:id="13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137" w:name="_Toc989026"/>
      <w:r>
        <w:rPr>
          <w:rFonts w:ascii="宋体" w:hAnsi="宋体" w:cs="宋体"/>
          <w:b/>
          <w:bCs/>
        </w:rPr>
        <w:t>2、公司股份总数及股东结构的变动、公司资产和负债结构的变动情况说明</w:t>
      </w:r>
      <w:bookmarkEnd w:id="13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8D4B2E" w:rsidRPr="00606927" w:rsidRDefault="008D4B2E" w:rsidP="00606927">
      <w:pPr>
        <w:pStyle w:val="a3"/>
        <w:ind w:firstLineChars="200" w:firstLine="360"/>
        <w:divId w:val="2031293461"/>
        <w:rPr>
          <w:kern w:val="2"/>
          <w:sz w:val="18"/>
          <w:szCs w:val="18"/>
        </w:rPr>
      </w:pPr>
      <w:r w:rsidRPr="00606927">
        <w:rPr>
          <w:rFonts w:hint="eastAsia"/>
          <w:kern w:val="2"/>
          <w:sz w:val="18"/>
          <w:szCs w:val="18"/>
        </w:rPr>
        <w:t>2023年7月18日，公司披露了《关于注销部分股票期权和回购注销部分限制性股票完成的公告》，因3名激励对象离职，公司完成了对其</w:t>
      </w:r>
      <w:proofErr w:type="gramStart"/>
      <w:r w:rsidRPr="00606927">
        <w:rPr>
          <w:rFonts w:hint="eastAsia"/>
          <w:kern w:val="2"/>
          <w:sz w:val="18"/>
          <w:szCs w:val="18"/>
        </w:rPr>
        <w:t>已获授但尚未</w:t>
      </w:r>
      <w:proofErr w:type="gramEnd"/>
      <w:r w:rsidRPr="00606927">
        <w:rPr>
          <w:rFonts w:hint="eastAsia"/>
          <w:kern w:val="2"/>
          <w:sz w:val="18"/>
          <w:szCs w:val="18"/>
        </w:rPr>
        <w:t>解除限售的限制性股票合计10,000股予以回购注销。</w:t>
      </w:r>
    </w:p>
    <w:p w:rsidR="008D4B2E" w:rsidRPr="00606927" w:rsidRDefault="008D4B2E" w:rsidP="00606927">
      <w:pPr>
        <w:pStyle w:val="a3"/>
        <w:ind w:firstLineChars="200" w:firstLine="360"/>
        <w:divId w:val="2031293461"/>
        <w:rPr>
          <w:kern w:val="2"/>
          <w:sz w:val="18"/>
          <w:szCs w:val="18"/>
        </w:rPr>
      </w:pPr>
      <w:r w:rsidRPr="00606927">
        <w:rPr>
          <w:rFonts w:hint="eastAsia"/>
          <w:kern w:val="2"/>
          <w:sz w:val="18"/>
          <w:szCs w:val="18"/>
        </w:rPr>
        <w:t>2023年10月13日，公司披露了《关于公司2022年股票期权与限制性股票激励计划第一个行权期采用自主行权模式的提示性公告》，截止至2023年12月31日，已行权的股份数为</w:t>
      </w:r>
      <w:r w:rsidRPr="00606927">
        <w:rPr>
          <w:kern w:val="2"/>
          <w:sz w:val="18"/>
          <w:szCs w:val="18"/>
        </w:rPr>
        <w:t>5,099,830</w:t>
      </w:r>
      <w:r w:rsidRPr="00606927">
        <w:rPr>
          <w:rFonts w:hint="eastAsia"/>
          <w:kern w:val="2"/>
          <w:sz w:val="18"/>
          <w:szCs w:val="18"/>
        </w:rPr>
        <w:t>股。</w:t>
      </w:r>
    </w:p>
    <w:p w:rsidR="008D4B2E" w:rsidRPr="00606927" w:rsidRDefault="008D4B2E" w:rsidP="00984200">
      <w:pPr>
        <w:pStyle w:val="a3"/>
        <w:ind w:firstLineChars="200" w:firstLine="360"/>
        <w:divId w:val="2031293461"/>
        <w:rPr>
          <w:kern w:val="2"/>
          <w:sz w:val="18"/>
          <w:szCs w:val="18"/>
        </w:rPr>
      </w:pPr>
      <w:r w:rsidRPr="00606927">
        <w:rPr>
          <w:rFonts w:hint="eastAsia"/>
          <w:kern w:val="2"/>
          <w:sz w:val="18"/>
          <w:szCs w:val="18"/>
        </w:rPr>
        <w:t>2023年10月19日，公司披露了《关于2023年限制性股票激励计划限制性股票授予登记完成的公告》，公司完成了2023年限制性股票的登记工作，本次实际向51名激励对象授予3,750万股限制性股票，该次授予的限制性股票的上市日为2023年10月20日。</w:t>
      </w:r>
    </w:p>
    <w:p w:rsidR="00BA0365" w:rsidRDefault="008D4B2E" w:rsidP="00606927">
      <w:pPr>
        <w:pStyle w:val="a3"/>
        <w:rPr>
          <w:b/>
          <w:bCs/>
        </w:rPr>
      </w:pPr>
      <w:r>
        <w:rPr>
          <w:rFonts w:hint="eastAsia"/>
          <w:sz w:val="18"/>
          <w:szCs w:val="18"/>
        </w:rPr>
        <w:t> </w:t>
      </w:r>
      <w:bookmarkStart w:id="138" w:name="_Toc989027"/>
      <w:r>
        <w:rPr>
          <w:b/>
          <w:bCs/>
        </w:rPr>
        <w:t>3、现存的内部职工股情况</w:t>
      </w:r>
      <w:bookmarkEnd w:id="13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39" w:name="_Toc989028"/>
      <w:r>
        <w:rPr>
          <w:rFonts w:ascii="宋体" w:eastAsia="宋体" w:hAnsi="宋体" w:cs="宋体"/>
          <w:b/>
          <w:bCs/>
          <w:sz w:val="24"/>
          <w:szCs w:val="24"/>
        </w:rPr>
        <w:t>三、股东和实际控制人情况</w:t>
      </w:r>
      <w:bookmarkEnd w:id="139"/>
    </w:p>
    <w:p w:rsidR="00BA0365" w:rsidRDefault="008D4B2E">
      <w:pPr>
        <w:pStyle w:val="3"/>
        <w:spacing w:line="280" w:lineRule="exact"/>
        <w:jc w:val="left"/>
        <w:rPr>
          <w:rFonts w:ascii="宋体" w:hAnsi="宋体" w:cs="宋体"/>
          <w:b/>
          <w:bCs/>
        </w:rPr>
      </w:pPr>
      <w:bookmarkStart w:id="140" w:name="_Toc989029"/>
      <w:r>
        <w:rPr>
          <w:rFonts w:ascii="宋体" w:hAnsi="宋体" w:cs="宋体"/>
          <w:b/>
          <w:bCs/>
        </w:rPr>
        <w:t>1、公司股东数量及持股情况</w:t>
      </w:r>
      <w:bookmarkEnd w:id="140"/>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单位：股</w:t>
      </w:r>
    </w:p>
    <w:tbl>
      <w:tblPr>
        <w:tblW w:w="9639" w:type="dxa"/>
        <w:tblLayout w:type="fixed"/>
        <w:tblLook w:val="04A0" w:firstRow="1" w:lastRow="0" w:firstColumn="1" w:lastColumn="0" w:noHBand="0" w:noVBand="1"/>
      </w:tblPr>
      <w:tblGrid>
        <w:gridCol w:w="1698"/>
        <w:gridCol w:w="851"/>
        <w:gridCol w:w="992"/>
        <w:gridCol w:w="678"/>
        <w:gridCol w:w="314"/>
        <w:gridCol w:w="1134"/>
        <w:gridCol w:w="678"/>
        <w:gridCol w:w="315"/>
        <w:gridCol w:w="992"/>
        <w:gridCol w:w="992"/>
        <w:gridCol w:w="995"/>
      </w:tblGrid>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报告期末普通股股东总数</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年度报告披露日前上一月末普通股股东总数</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52,542</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报告期末表决权恢复的优先股股东总数（如有）（参见注8）</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198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年度报告披露日前上一月末表决权恢复的优先股股东总数（如有）（参见注8）</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持股5%以上的股东或前10名股东持股情况（不含通过转融通出借股份）</w:t>
            </w:r>
          </w:p>
        </w:tc>
      </w:tr>
      <w:tr w:rsidR="00157EA0" w:rsidTr="00102670">
        <w:trPr>
          <w:trHeight w:val="240"/>
        </w:trPr>
        <w:tc>
          <w:tcPr>
            <w:tcW w:w="169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8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股东性质</w:t>
            </w:r>
          </w:p>
        </w:tc>
        <w:tc>
          <w:tcPr>
            <w:tcW w:w="99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992"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报告期末持股数量</w:t>
            </w:r>
          </w:p>
        </w:tc>
        <w:tc>
          <w:tcPr>
            <w:tcW w:w="113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报告期内增减变动情况</w:t>
            </w:r>
          </w:p>
        </w:tc>
        <w:tc>
          <w:tcPr>
            <w:tcW w:w="993" w:type="dxa"/>
            <w:gridSpan w:val="2"/>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持有有限</w:t>
            </w:r>
            <w:proofErr w:type="gramStart"/>
            <w:r>
              <w:rPr>
                <w:rFonts w:ascii="宋体" w:eastAsia="宋体" w:hAnsi="宋体" w:cs="宋体"/>
                <w:sz w:val="18"/>
                <w:szCs w:val="18"/>
              </w:rPr>
              <w:t>售条件</w:t>
            </w:r>
            <w:proofErr w:type="gramEnd"/>
            <w:r>
              <w:rPr>
                <w:rFonts w:ascii="宋体" w:eastAsia="宋体" w:hAnsi="宋体" w:cs="宋体"/>
                <w:sz w:val="18"/>
                <w:szCs w:val="18"/>
              </w:rPr>
              <w:t>的</w:t>
            </w:r>
            <w:r>
              <w:rPr>
                <w:rFonts w:ascii="宋体" w:eastAsia="宋体" w:hAnsi="宋体" w:cs="宋体"/>
                <w:sz w:val="18"/>
                <w:szCs w:val="18"/>
              </w:rPr>
              <w:lastRenderedPageBreak/>
              <w:t>股份数量</w:t>
            </w:r>
          </w:p>
        </w:tc>
        <w:tc>
          <w:tcPr>
            <w:tcW w:w="99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持有无限</w:t>
            </w:r>
            <w:proofErr w:type="gramStart"/>
            <w:r>
              <w:rPr>
                <w:rFonts w:ascii="宋体" w:eastAsia="宋体" w:hAnsi="宋体" w:cs="宋体"/>
                <w:sz w:val="18"/>
                <w:szCs w:val="18"/>
              </w:rPr>
              <w:t>售条件</w:t>
            </w:r>
            <w:proofErr w:type="gramEnd"/>
            <w:r>
              <w:rPr>
                <w:rFonts w:ascii="宋体" w:eastAsia="宋体" w:hAnsi="宋体" w:cs="宋体"/>
                <w:sz w:val="18"/>
                <w:szCs w:val="18"/>
              </w:rPr>
              <w:t>的</w:t>
            </w:r>
            <w:r>
              <w:rPr>
                <w:rFonts w:ascii="宋体" w:eastAsia="宋体" w:hAnsi="宋体" w:cs="宋体"/>
                <w:sz w:val="18"/>
                <w:szCs w:val="18"/>
              </w:rPr>
              <w:lastRenderedPageBreak/>
              <w:t>股份数量</w:t>
            </w:r>
          </w:p>
        </w:tc>
        <w:tc>
          <w:tcPr>
            <w:tcW w:w="1987"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质押、标记或冻结情况</w:t>
            </w:r>
          </w:p>
        </w:tc>
      </w:tr>
      <w:tr w:rsidR="00157EA0" w:rsidTr="00102670">
        <w:trPr>
          <w:trHeight w:val="240"/>
        </w:trPr>
        <w:tc>
          <w:tcPr>
            <w:tcW w:w="169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13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3" w:type="dxa"/>
            <w:gridSpan w:val="2"/>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股份状态</w:t>
            </w:r>
          </w:p>
        </w:tc>
        <w:tc>
          <w:tcPr>
            <w:tcW w:w="99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袁仲雪</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境内自然人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14.36%</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质押</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115,000,000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中央汇金资产管理有限责任公司</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国有法人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青岛高等学校技术装备服务总部</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国有法人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2.06%</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冻结</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16,200,000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大家资产－民生银行－大家资产－盛世精选2号集合资产管理产品（第二期）</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17,116,713</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17,116,713</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17,116,713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招商银行股份有限公司－东方红远见价值混合型证券投资基金</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11,465,500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11,465,500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11,465,500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大成基金－农业银行－大成中证金融资产管理计划</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-516,200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南方基金－农业银行－南方中证金融资产管理计划</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-530,900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银华基金－农业银行－银华中证金融资产管理计划</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-254,000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广发基金－农业银行－广发中证金融资产管理计划</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10,446,100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-1,278,700</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10,446,100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169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香港中央结算有限公司</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境外法人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0.99%</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9,976,588</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9,961,361</w:t>
            </w:r>
          </w:p>
        </w:tc>
        <w:tc>
          <w:tcPr>
            <w:tcW w:w="993"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9,976,588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w:t>
            </w:r>
          </w:p>
        </w:tc>
      </w:tr>
      <w:tr w:rsidR="00157EA0" w:rsidTr="00102670">
        <w:trPr>
          <w:trHeight w:val="240"/>
        </w:trPr>
        <w:tc>
          <w:tcPr>
            <w:tcW w:w="254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战略投资者或一般法人因配售新股成为前10名股东的情况（如有）（参见注3）</w:t>
            </w:r>
          </w:p>
        </w:tc>
        <w:tc>
          <w:tcPr>
            <w:tcW w:w="7090" w:type="dxa"/>
            <w:gridSpan w:val="9"/>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rsidTr="00102670">
        <w:trPr>
          <w:trHeight w:val="240"/>
        </w:trPr>
        <w:tc>
          <w:tcPr>
            <w:tcW w:w="254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上述股东关联关系或一致行动的说明</w:t>
            </w:r>
          </w:p>
        </w:tc>
        <w:tc>
          <w:tcPr>
            <w:tcW w:w="7090" w:type="dxa"/>
            <w:gridSpan w:val="9"/>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公司未知上述股东之间是否存在关联关系，也未知以上股东是否属于《上市公司收购管理办法》中规定的一致行动人。</w:t>
            </w:r>
          </w:p>
        </w:tc>
      </w:tr>
      <w:tr w:rsidR="00157EA0" w:rsidTr="00102670">
        <w:trPr>
          <w:trHeight w:val="240"/>
        </w:trPr>
        <w:tc>
          <w:tcPr>
            <w:tcW w:w="254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上述股东涉及委托/受托表决权、放弃表决权情况的说明</w:t>
            </w:r>
          </w:p>
        </w:tc>
        <w:tc>
          <w:tcPr>
            <w:tcW w:w="7090" w:type="dxa"/>
            <w:gridSpan w:val="9"/>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rsidTr="00102670">
        <w:trPr>
          <w:trHeight w:val="240"/>
        </w:trPr>
        <w:tc>
          <w:tcPr>
            <w:tcW w:w="254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前10名股东中存在回购专户的特别说明（如有）（参见注10）</w:t>
            </w:r>
          </w:p>
        </w:tc>
        <w:tc>
          <w:tcPr>
            <w:tcW w:w="7090" w:type="dxa"/>
            <w:gridSpan w:val="9"/>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r w:rsidR="00157EA0">
        <w:trPr>
          <w:trHeight w:val="240"/>
        </w:trPr>
        <w:tc>
          <w:tcPr>
            <w:tcW w:w="9639" w:type="dxa"/>
            <w:gridSpan w:val="11"/>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前10名无限</w:t>
            </w:r>
            <w:proofErr w:type="gramStart"/>
            <w:r>
              <w:rPr>
                <w:rFonts w:ascii="宋体" w:eastAsia="宋体" w:hAnsi="宋体" w:cs="宋体"/>
                <w:sz w:val="18"/>
                <w:szCs w:val="18"/>
              </w:rPr>
              <w:t>售条件</w:t>
            </w:r>
            <w:proofErr w:type="gramEnd"/>
            <w:r>
              <w:rPr>
                <w:rFonts w:ascii="宋体" w:eastAsia="宋体" w:hAnsi="宋体" w:cs="宋体"/>
                <w:sz w:val="18"/>
                <w:szCs w:val="18"/>
              </w:rPr>
              <w:t>股东持股情况</w:t>
            </w:r>
          </w:p>
        </w:tc>
      </w:tr>
      <w:tr w:rsidR="00157EA0" w:rsidTr="00130B7D">
        <w:trPr>
          <w:trHeight w:val="240"/>
        </w:trPr>
        <w:tc>
          <w:tcPr>
            <w:tcW w:w="4219" w:type="dxa"/>
            <w:gridSpan w:val="4"/>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股东名称</w:t>
            </w:r>
          </w:p>
        </w:tc>
        <w:tc>
          <w:tcPr>
            <w:tcW w:w="2126" w:type="dxa"/>
            <w:gridSpan w:val="3"/>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报告期末持有无限</w:t>
            </w:r>
            <w:proofErr w:type="gramStart"/>
            <w:r>
              <w:rPr>
                <w:rFonts w:ascii="宋体" w:eastAsia="宋体" w:hAnsi="宋体" w:cs="宋体"/>
                <w:sz w:val="18"/>
                <w:szCs w:val="18"/>
              </w:rPr>
              <w:t>售条件</w:t>
            </w:r>
            <w:proofErr w:type="gramEnd"/>
            <w:r>
              <w:rPr>
                <w:rFonts w:ascii="宋体" w:eastAsia="宋体" w:hAnsi="宋体" w:cs="宋体"/>
                <w:sz w:val="18"/>
                <w:szCs w:val="18"/>
              </w:rPr>
              <w:t>股份数量</w:t>
            </w:r>
          </w:p>
        </w:tc>
        <w:tc>
          <w:tcPr>
            <w:tcW w:w="329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r>
      <w:tr w:rsidR="00157EA0" w:rsidTr="00102670">
        <w:trPr>
          <w:trHeight w:val="240"/>
        </w:trPr>
        <w:tc>
          <w:tcPr>
            <w:tcW w:w="4219" w:type="dxa"/>
            <w:gridSpan w:val="4"/>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126" w:type="dxa"/>
            <w:gridSpan w:val="3"/>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29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股份种类</w:t>
            </w:r>
          </w:p>
        </w:tc>
        <w:tc>
          <w:tcPr>
            <w:tcW w:w="99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袁仲雪</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145,308,486</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145,308,486</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中央汇金资产管理有限责任公司</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33,254,500</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33,254,500</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青岛高等学校技术装备服务总部</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20,890,236</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20,890,236</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大家资产－民生银行－大家资产－盛世精选2号集合资产管理产品（第二期）</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17,116,713</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17,116,713</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招商银行股份有限公司－东方红远见价值混合型证券投资基金</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11,465,500</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11,465,500</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大成基金－农业银行－大成中证金融资产管理计划</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11,208,600</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11,208,6</w:t>
            </w:r>
            <w:r>
              <w:rPr>
                <w:rFonts w:ascii="宋体" w:eastAsia="宋体" w:hAnsi="宋体" w:cs="宋体"/>
                <w:sz w:val="18"/>
                <w:szCs w:val="18"/>
              </w:rPr>
              <w:lastRenderedPageBreak/>
              <w:t>00</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rsidP="00130B7D">
            <w:pPr>
              <w:spacing w:line="240" w:lineRule="exact"/>
              <w:rPr>
                <w:rFonts w:ascii="宋体" w:eastAsia="宋体" w:hAnsi="宋体" w:cs="宋体"/>
                <w:sz w:val="18"/>
                <w:szCs w:val="18"/>
              </w:rPr>
            </w:pPr>
            <w:r>
              <w:rPr>
                <w:rFonts w:ascii="宋体" w:eastAsia="宋体" w:hAnsi="宋体" w:cs="宋体"/>
                <w:sz w:val="18"/>
                <w:szCs w:val="18"/>
              </w:rPr>
              <w:lastRenderedPageBreak/>
              <w:t>南方基金－农业银行－南方中证金融资产管理计划</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11,193,900</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11,193,900</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银华基金－农业银行－银华中证金融资产管理计划</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10,891,633</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10,891,633</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广发基金－农业银行－广发中证金融资产管理计划</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10,446,100</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10,446,100</w:t>
            </w:r>
          </w:p>
        </w:tc>
      </w:tr>
      <w:tr w:rsidR="00157EA0" w:rsidTr="00102670">
        <w:trPr>
          <w:trHeight w:val="240"/>
        </w:trPr>
        <w:tc>
          <w:tcPr>
            <w:tcW w:w="4219" w:type="dxa"/>
            <w:gridSpan w:val="4"/>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香港中央结算有限公司</w:t>
            </w:r>
          </w:p>
        </w:tc>
        <w:tc>
          <w:tcPr>
            <w:tcW w:w="2126"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9,976,588</w:t>
            </w:r>
          </w:p>
        </w:tc>
        <w:tc>
          <w:tcPr>
            <w:tcW w:w="229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人民币普通股</w:t>
            </w:r>
          </w:p>
        </w:tc>
        <w:tc>
          <w:tcPr>
            <w:tcW w:w="99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9,976,588</w:t>
            </w:r>
          </w:p>
        </w:tc>
      </w:tr>
      <w:tr w:rsidR="00157EA0" w:rsidTr="00130B7D">
        <w:trPr>
          <w:trHeight w:val="240"/>
        </w:trPr>
        <w:tc>
          <w:tcPr>
            <w:tcW w:w="42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前10名无限</w:t>
            </w:r>
            <w:proofErr w:type="gramStart"/>
            <w:r>
              <w:rPr>
                <w:rFonts w:ascii="宋体" w:eastAsia="宋体" w:hAnsi="宋体" w:cs="宋体"/>
                <w:sz w:val="18"/>
                <w:szCs w:val="18"/>
              </w:rPr>
              <w:t>售流通</w:t>
            </w:r>
            <w:proofErr w:type="gramEnd"/>
            <w:r>
              <w:rPr>
                <w:rFonts w:ascii="宋体" w:eastAsia="宋体" w:hAnsi="宋体" w:cs="宋体"/>
                <w:sz w:val="18"/>
                <w:szCs w:val="18"/>
              </w:rPr>
              <w:t>股股东之间，以及前10名无限</w:t>
            </w:r>
            <w:proofErr w:type="gramStart"/>
            <w:r>
              <w:rPr>
                <w:rFonts w:ascii="宋体" w:eastAsia="宋体" w:hAnsi="宋体" w:cs="宋体"/>
                <w:sz w:val="18"/>
                <w:szCs w:val="18"/>
              </w:rPr>
              <w:t>售流通</w:t>
            </w:r>
            <w:proofErr w:type="gramEnd"/>
            <w:r>
              <w:rPr>
                <w:rFonts w:ascii="宋体" w:eastAsia="宋体" w:hAnsi="宋体" w:cs="宋体"/>
                <w:sz w:val="18"/>
                <w:szCs w:val="18"/>
              </w:rPr>
              <w:t>股股东和前10名股东之间关联关系或一致行动的说明</w:t>
            </w:r>
          </w:p>
        </w:tc>
        <w:tc>
          <w:tcPr>
            <w:tcW w:w="5420"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公司未知上述股东之间是否存在关联关系，也未知以上股东是否属于《上市公司收购管理办法》中规定的一致行动人</w:t>
            </w:r>
          </w:p>
        </w:tc>
      </w:tr>
      <w:tr w:rsidR="00157EA0" w:rsidTr="00130B7D">
        <w:trPr>
          <w:trHeight w:val="240"/>
        </w:trPr>
        <w:tc>
          <w:tcPr>
            <w:tcW w:w="42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前10名普通股股东参与融资融券业务情况说明（如有）（参见注4）</w:t>
            </w:r>
          </w:p>
        </w:tc>
        <w:tc>
          <w:tcPr>
            <w:tcW w:w="5420" w:type="dxa"/>
            <w:gridSpan w:val="7"/>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不适用</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前十名股东参与转融通业务出借股份情况</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CC1088" w:rsidRDefault="00CC1088" w:rsidP="00CC1088">
      <w:pPr>
        <w:spacing w:before="100" w:after="100" w:line="240" w:lineRule="exact"/>
        <w:rPr>
          <w:rFonts w:ascii="宋体" w:eastAsia="宋体" w:hAnsi="宋体" w:cs="宋体"/>
          <w:sz w:val="18"/>
          <w:szCs w:val="18"/>
        </w:rPr>
      </w:pPr>
      <w:r>
        <w:rPr>
          <w:rFonts w:ascii="宋体" w:eastAsia="宋体" w:hAnsi="宋体" w:cs="宋体"/>
          <w:sz w:val="18"/>
          <w:szCs w:val="18"/>
        </w:rPr>
        <w:t>前十名股东较上期发生变化</w:t>
      </w:r>
    </w:p>
    <w:p w:rsidR="004E2BEA" w:rsidRDefault="004E2BEA" w:rsidP="004E2BEA">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公司前10名普通股股东、前10名无限</w:t>
      </w:r>
      <w:proofErr w:type="gramStart"/>
      <w:r>
        <w:rPr>
          <w:rFonts w:ascii="宋体" w:eastAsia="宋体" w:hAnsi="宋体" w:cs="宋体"/>
          <w:sz w:val="18"/>
          <w:szCs w:val="18"/>
        </w:rPr>
        <w:t>售条件</w:t>
      </w:r>
      <w:proofErr w:type="gramEnd"/>
      <w:r>
        <w:rPr>
          <w:rFonts w:ascii="宋体" w:eastAsia="宋体" w:hAnsi="宋体" w:cs="宋体"/>
          <w:sz w:val="18"/>
          <w:szCs w:val="18"/>
        </w:rPr>
        <w:t>普通股股东在报告期内是否进行约定购回交易</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公司前10名普通股股东、前10名无限</w:t>
      </w:r>
      <w:proofErr w:type="gramStart"/>
      <w:r>
        <w:rPr>
          <w:rFonts w:ascii="宋体" w:eastAsia="宋体" w:hAnsi="宋体" w:cs="宋体"/>
          <w:sz w:val="18"/>
          <w:szCs w:val="18"/>
        </w:rPr>
        <w:t>售条件</w:t>
      </w:r>
      <w:proofErr w:type="gramEnd"/>
      <w:r>
        <w:rPr>
          <w:rFonts w:ascii="宋体" w:eastAsia="宋体" w:hAnsi="宋体" w:cs="宋体"/>
          <w:sz w:val="18"/>
          <w:szCs w:val="18"/>
        </w:rPr>
        <w:t>普通股股东在报告期内未进行约定购回交易。</w:t>
      </w:r>
    </w:p>
    <w:p w:rsidR="00BA0365" w:rsidRDefault="008D4B2E">
      <w:pPr>
        <w:pStyle w:val="3"/>
        <w:spacing w:line="280" w:lineRule="exact"/>
        <w:jc w:val="left"/>
        <w:rPr>
          <w:rFonts w:ascii="宋体" w:hAnsi="宋体" w:cs="宋体"/>
          <w:b/>
          <w:bCs/>
        </w:rPr>
      </w:pPr>
      <w:bookmarkStart w:id="141" w:name="_Toc989030"/>
      <w:r>
        <w:rPr>
          <w:rFonts w:ascii="宋体" w:hAnsi="宋体" w:cs="宋体"/>
          <w:b/>
          <w:bCs/>
        </w:rPr>
        <w:t>2、公司控股股东情况</w:t>
      </w:r>
      <w:bookmarkEnd w:id="14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控股股东性质：自然人控股</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控股股东类型：自然人</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控股股东姓名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国籍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是否取得其他国家或地区居留权</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袁仲雪</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主要职业及职务</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现任国家橡胶与轮胎工程技术研究中心主任，轮胎先进装备与关键材料国家工程研究中心副主任，中国橡胶工业协会高级副会长、企业执行主席，山东省橡胶工业协会专家委员会主任委员，青岛国</w:t>
            </w:r>
            <w:proofErr w:type="gramStart"/>
            <w:r>
              <w:rPr>
                <w:rFonts w:ascii="宋体" w:eastAsia="宋体" w:hAnsi="宋体" w:cs="宋体"/>
                <w:sz w:val="18"/>
                <w:szCs w:val="18"/>
              </w:rPr>
              <w:t>橡</w:t>
            </w:r>
            <w:proofErr w:type="gramEnd"/>
            <w:r>
              <w:rPr>
                <w:rFonts w:ascii="宋体" w:eastAsia="宋体" w:hAnsi="宋体" w:cs="宋体"/>
                <w:sz w:val="18"/>
                <w:szCs w:val="18"/>
              </w:rPr>
              <w:t>工程技术研究中心有限公司执行董事，青岛煜明投资中心（有限合伙）执行事务合伙人，瑞元鼎实投资有限公司执行董事、经理，青岛瑞元鼎辉控股有限公司执行董事、经理，青岛瑞元鼎华投资控股有限公司执行董事、经理，青岛海湾化学股份有限公司独立董事，</w:t>
            </w: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股份有限公司党委书记、董事、名誉董事长。</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报告期内控股和参股的其他境内外上市公司的股权情况</w:t>
            </w:r>
          </w:p>
        </w:tc>
        <w:tc>
          <w:tcPr>
            <w:tcW w:w="6426" w:type="dxa"/>
            <w:gridSpan w:val="2"/>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除控股本公司外，目前还控股的上市公司为赛</w:t>
            </w:r>
            <w:proofErr w:type="gramStart"/>
            <w:r>
              <w:rPr>
                <w:rFonts w:ascii="宋体" w:eastAsia="宋体" w:hAnsi="宋体" w:cs="宋体"/>
                <w:sz w:val="18"/>
                <w:szCs w:val="18"/>
              </w:rPr>
              <w:t>轮集团</w:t>
            </w:r>
            <w:proofErr w:type="gramEnd"/>
            <w:r>
              <w:rPr>
                <w:rFonts w:ascii="宋体" w:eastAsia="宋体" w:hAnsi="宋体" w:cs="宋体"/>
                <w:sz w:val="18"/>
                <w:szCs w:val="18"/>
              </w:rPr>
              <w:t>股份有限公司（为上海证券交易所的上市公司）。</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控股股东报告期内变更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公司报告期控股股东未发生变更。</w:t>
      </w:r>
    </w:p>
    <w:p w:rsidR="00BA0365" w:rsidRDefault="008D4B2E">
      <w:pPr>
        <w:pStyle w:val="3"/>
        <w:spacing w:line="280" w:lineRule="exact"/>
        <w:jc w:val="left"/>
        <w:rPr>
          <w:rFonts w:ascii="宋体" w:hAnsi="宋体" w:cs="宋体"/>
          <w:b/>
          <w:bCs/>
        </w:rPr>
      </w:pPr>
      <w:bookmarkStart w:id="142" w:name="_Toc989031"/>
      <w:r>
        <w:rPr>
          <w:rFonts w:ascii="宋体" w:hAnsi="宋体" w:cs="宋体"/>
          <w:b/>
          <w:bCs/>
        </w:rPr>
        <w:t>3、公司实际控制人及其一致行动人</w:t>
      </w:r>
      <w:bookmarkEnd w:id="14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实际控制人性质：境内自然人</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实际控制人类型：自然人</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实际控制人姓名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与实际控制人关系</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国籍</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是否取得其他国家或地区居留权</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袁仲雪</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本人</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中国</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否</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主要职业及职务</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现任国家橡胶与轮胎工程技术研究中心主任，轮胎先进装备与关键材料国家工程研究中心副主任，中国橡胶工业协会高级副会长、企业执行主席，山东省橡胶工业协会专家委员会主任委员，青岛国</w:t>
            </w:r>
            <w:proofErr w:type="gramStart"/>
            <w:r>
              <w:rPr>
                <w:rFonts w:ascii="宋体" w:eastAsia="宋体" w:hAnsi="宋体" w:cs="宋体"/>
                <w:sz w:val="18"/>
                <w:szCs w:val="18"/>
              </w:rPr>
              <w:t>橡</w:t>
            </w:r>
            <w:proofErr w:type="gramEnd"/>
            <w:r>
              <w:rPr>
                <w:rFonts w:ascii="宋体" w:eastAsia="宋体" w:hAnsi="宋体" w:cs="宋体"/>
                <w:sz w:val="18"/>
                <w:szCs w:val="18"/>
              </w:rPr>
              <w:t>工程技术研究中心有限公司执行董事，青岛煜明投资中心（有限合伙）执行事务合伙人，瑞元鼎实投资有限公司执行董事、经理，青岛瑞元鼎辉控股有限公司执行董事、经理，青岛瑞元鼎华投资控股有限公司执行董事、经理，青岛海湾化学股份有限公司独立董事，</w:t>
            </w: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股份有限公司党委书记、董事、名誉董事长。</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过去10年曾控股的境内外上市公司情况</w:t>
            </w:r>
          </w:p>
        </w:tc>
        <w:tc>
          <w:tcPr>
            <w:tcW w:w="7229" w:type="dxa"/>
            <w:gridSpan w:val="3"/>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除控股本公司外，目前还控股的上市公司为赛</w:t>
            </w:r>
            <w:proofErr w:type="gramStart"/>
            <w:r>
              <w:rPr>
                <w:rFonts w:ascii="宋体" w:eastAsia="宋体" w:hAnsi="宋体" w:cs="宋体"/>
                <w:sz w:val="18"/>
                <w:szCs w:val="18"/>
              </w:rPr>
              <w:t>轮集团</w:t>
            </w:r>
            <w:proofErr w:type="gramEnd"/>
            <w:r>
              <w:rPr>
                <w:rFonts w:ascii="宋体" w:eastAsia="宋体" w:hAnsi="宋体" w:cs="宋体"/>
                <w:sz w:val="18"/>
                <w:szCs w:val="18"/>
              </w:rPr>
              <w:t>股份有限公司（为上海证券交易所的上市公司）。</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实际控制人报告期内变更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公司报告期实际控制人未发生变更。</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公司与实际控制人之间的产权及控制关系的方框图</w:t>
      </w:r>
    </w:p>
    <w:p w:rsidR="00BA0365" w:rsidRDefault="008D4B2E">
      <w:pPr>
        <w:spacing w:before="40" w:after="40" w:line="0" w:lineRule="atLeast"/>
        <w:jc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3171825" cy="22907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extLst/>
                    </a:blip>
                    <a:stretch>
                      <a:fillRect/>
                    </a:stretch>
                  </pic:blipFill>
                  <pic:spPr>
                    <a:xfrm>
                      <a:off x="0" y="0"/>
                      <a:ext cx="3171825" cy="2290762"/>
                    </a:xfrm>
                    <a:prstGeom prst="rect">
                      <a:avLst/>
                    </a:prstGeom>
                  </pic:spPr>
                </pic:pic>
              </a:graphicData>
            </a:graphic>
          </wp:inline>
        </w:drawing>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实际控制人通过信托或其他资产管理方式控制公司</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143" w:name="_Toc989032"/>
      <w:r>
        <w:rPr>
          <w:rFonts w:ascii="宋体" w:hAnsi="宋体" w:cs="宋体"/>
          <w:b/>
          <w:bCs/>
        </w:rPr>
        <w:t>4、公司控股股东或第一大股东及其一致行动人累计质押股份数量占其所持公司股份数量比例达到80%</w:t>
      </w:r>
      <w:bookmarkEnd w:id="14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144" w:name="_Toc989033"/>
      <w:r>
        <w:rPr>
          <w:rFonts w:ascii="宋体" w:hAnsi="宋体" w:cs="宋体"/>
          <w:b/>
          <w:bCs/>
        </w:rPr>
        <w:t>5、其他持股在10%以上的法人股东</w:t>
      </w:r>
      <w:bookmarkEnd w:id="14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145" w:name="_Toc989034"/>
      <w:r>
        <w:rPr>
          <w:rFonts w:ascii="宋体" w:hAnsi="宋体" w:cs="宋体"/>
          <w:b/>
          <w:bCs/>
        </w:rPr>
        <w:t>6、控股股东、实际控制人、重组方及其他承诺主体股份限制减持情况</w:t>
      </w:r>
      <w:bookmarkEnd w:id="14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146" w:name="_Toc989035"/>
      <w:r>
        <w:rPr>
          <w:rFonts w:ascii="宋体" w:eastAsia="宋体" w:hAnsi="宋体" w:cs="宋体"/>
          <w:b/>
          <w:bCs/>
          <w:sz w:val="24"/>
          <w:szCs w:val="24"/>
        </w:rPr>
        <w:t>四、股份回购在报告期的具体实施情况</w:t>
      </w:r>
      <w:bookmarkEnd w:id="14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股份回购的实施进展情况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采用集中竞价交易方式减持回购股份的实施进展情况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47" w:name="_Toc989036"/>
      <w:r>
        <w:rPr>
          <w:rFonts w:ascii="宋体" w:eastAsia="宋体" w:hAnsi="宋体" w:cs="宋体"/>
          <w:b/>
          <w:bCs/>
          <w:sz w:val="32"/>
          <w:szCs w:val="32"/>
        </w:rPr>
        <w:lastRenderedPageBreak/>
        <w:t>第八节 优先股相关情况</w:t>
      </w:r>
      <w:bookmarkEnd w:id="14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报告期公司不存在优先股。</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48" w:name="_Toc989037"/>
      <w:r>
        <w:rPr>
          <w:rFonts w:ascii="宋体" w:eastAsia="宋体" w:hAnsi="宋体" w:cs="宋体"/>
          <w:b/>
          <w:bCs/>
          <w:sz w:val="32"/>
          <w:szCs w:val="32"/>
        </w:rPr>
        <w:lastRenderedPageBreak/>
        <w:t>第九节 债券相关情况</w:t>
      </w:r>
      <w:bookmarkEnd w:id="14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r>
        <w:br w:type="page"/>
      </w:r>
    </w:p>
    <w:p w:rsidR="00BA0365" w:rsidRDefault="008D4B2E">
      <w:pPr>
        <w:pStyle w:val="headingh1"/>
        <w:spacing w:before="340" w:after="330" w:line="773" w:lineRule="exact"/>
        <w:jc w:val="center"/>
        <w:rPr>
          <w:rFonts w:ascii="宋体" w:eastAsia="宋体" w:hAnsi="宋体" w:cs="宋体"/>
          <w:b/>
          <w:bCs/>
          <w:sz w:val="32"/>
          <w:szCs w:val="32"/>
        </w:rPr>
      </w:pPr>
      <w:bookmarkStart w:id="149" w:name="_Toc989038"/>
      <w:r>
        <w:rPr>
          <w:rFonts w:ascii="宋体" w:eastAsia="宋体" w:hAnsi="宋体" w:cs="宋体"/>
          <w:b/>
          <w:bCs/>
          <w:sz w:val="32"/>
          <w:szCs w:val="32"/>
        </w:rPr>
        <w:lastRenderedPageBreak/>
        <w:t>第十节 财务报告</w:t>
      </w:r>
      <w:bookmarkEnd w:id="149"/>
    </w:p>
    <w:p w:rsidR="00BA0365" w:rsidRDefault="008D4B2E">
      <w:pPr>
        <w:pStyle w:val="2"/>
        <w:spacing w:before="300" w:after="300" w:line="320" w:lineRule="exact"/>
        <w:rPr>
          <w:rFonts w:ascii="宋体" w:eastAsia="宋体" w:hAnsi="宋体" w:cs="宋体"/>
          <w:b/>
          <w:bCs/>
          <w:sz w:val="24"/>
          <w:szCs w:val="24"/>
        </w:rPr>
      </w:pPr>
      <w:bookmarkStart w:id="150" w:name="_Toc989039"/>
      <w:r>
        <w:rPr>
          <w:rFonts w:ascii="宋体" w:eastAsia="宋体" w:hAnsi="宋体" w:cs="宋体"/>
          <w:b/>
          <w:bCs/>
          <w:sz w:val="24"/>
          <w:szCs w:val="24"/>
        </w:rPr>
        <w:t>一、审计报告</w:t>
      </w:r>
      <w:bookmarkEnd w:id="150"/>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审计意见类型</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标准的无保留意见</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审计报告签署日期</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2024年04月01日</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审计机构名称</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中兴华会计师事务所（特殊普通合伙）</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审计报告文号</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中兴华审</w:t>
            </w:r>
            <w:proofErr w:type="gramEnd"/>
            <w:r>
              <w:rPr>
                <w:rFonts w:ascii="宋体" w:eastAsia="宋体" w:hAnsi="宋体" w:cs="宋体"/>
                <w:sz w:val="18"/>
                <w:szCs w:val="18"/>
              </w:rPr>
              <w:t>字（2024）第030115号</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注册会计师姓名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丁兆栋、高宁</w:t>
            </w:r>
          </w:p>
        </w:tc>
      </w:tr>
    </w:tbl>
    <w:p w:rsidR="00BA0365" w:rsidRDefault="008D4B2E" w:rsidP="00606927">
      <w:pPr>
        <w:pStyle w:val="a3"/>
        <w:spacing w:before="156" w:beforeAutospacing="0" w:after="0" w:afterAutospacing="0" w:line="360" w:lineRule="auto"/>
        <w:jc w:val="center"/>
        <w:rPr>
          <w:sz w:val="18"/>
          <w:szCs w:val="18"/>
        </w:rPr>
      </w:pPr>
      <w:r w:rsidRPr="00606927">
        <w:rPr>
          <w:rStyle w:val="a4"/>
          <w:rFonts w:cs="Times New Roman"/>
          <w:color w:val="000000"/>
        </w:rPr>
        <w:t>审计报告正文</w:t>
      </w:r>
    </w:p>
    <w:p w:rsidR="008D4B2E" w:rsidRDefault="008D4B2E">
      <w:pPr>
        <w:pStyle w:val="a3"/>
        <w:spacing w:before="120" w:beforeAutospacing="0" w:after="0" w:afterAutospacing="0" w:line="360" w:lineRule="auto"/>
        <w:jc w:val="both"/>
        <w:divId w:val="478041031"/>
        <w:rPr>
          <w:rFonts w:ascii="Times New Roman" w:hAnsi="Times New Roman" w:cs="Times New Roman"/>
          <w:sz w:val="21"/>
          <w:szCs w:val="21"/>
        </w:rPr>
      </w:pPr>
      <w:proofErr w:type="gramStart"/>
      <w:r>
        <w:rPr>
          <w:rStyle w:val="a4"/>
          <w:rFonts w:cs="Times New Roman" w:hint="eastAsia"/>
          <w:color w:val="000000"/>
        </w:rPr>
        <w:t>软控股份有限</w:t>
      </w:r>
      <w:r>
        <w:rPr>
          <w:rStyle w:val="a4"/>
          <w:rFonts w:cs="Times New Roman" w:hint="eastAsia"/>
        </w:rPr>
        <w:t>公司</w:t>
      </w:r>
      <w:proofErr w:type="gramEnd"/>
      <w:r>
        <w:rPr>
          <w:rStyle w:val="a4"/>
          <w:rFonts w:cs="Times New Roman" w:hint="eastAsia"/>
        </w:rPr>
        <w:t xml:space="preserve">全体股东： </w:t>
      </w:r>
    </w:p>
    <w:p w:rsidR="008D4B2E" w:rsidRPr="00606927" w:rsidRDefault="008D4B2E">
      <w:pPr>
        <w:widowControl/>
        <w:numPr>
          <w:ilvl w:val="0"/>
          <w:numId w:val="1"/>
        </w:numPr>
        <w:spacing w:before="100" w:beforeAutospacing="1" w:after="100" w:afterAutospacing="1"/>
        <w:divId w:val="478041031"/>
        <w:rPr>
          <w:rStyle w:val="a4"/>
          <w:szCs w:val="21"/>
        </w:rPr>
      </w:pPr>
      <w:r w:rsidRPr="00606927">
        <w:rPr>
          <w:rStyle w:val="a4"/>
          <w:rFonts w:hint="eastAsia"/>
          <w:szCs w:val="21"/>
        </w:rPr>
        <w:t>审计意见</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我们审计</w:t>
      </w:r>
      <w:proofErr w:type="gramStart"/>
      <w:r w:rsidRPr="00606927">
        <w:rPr>
          <w:rFonts w:asciiTheme="minorHAnsi" w:eastAsiaTheme="minorEastAsia" w:hAnsiTheme="minorHAnsi" w:cs="Times New Roman" w:hint="eastAsia"/>
          <w:kern w:val="2"/>
          <w:sz w:val="21"/>
          <w:szCs w:val="22"/>
        </w:rPr>
        <w:t>了软控股份有限公司</w:t>
      </w:r>
      <w:proofErr w:type="gramEnd"/>
      <w:r w:rsidRPr="00606927">
        <w:rPr>
          <w:rFonts w:asciiTheme="minorHAnsi" w:eastAsiaTheme="minorEastAsia" w:hAnsiTheme="minorHAnsi" w:cs="Times New Roman" w:hint="eastAsia"/>
          <w:kern w:val="2"/>
          <w:sz w:val="21"/>
          <w:szCs w:val="22"/>
        </w:rPr>
        <w:t>（以下简称“贵公司”）财务报表，包括</w:t>
      </w:r>
      <w:r w:rsidRPr="00606927">
        <w:rPr>
          <w:rFonts w:asciiTheme="minorHAnsi" w:eastAsiaTheme="minorEastAsia" w:hAnsiTheme="minorHAnsi" w:cs="Times New Roman" w:hint="eastAsia"/>
          <w:kern w:val="2"/>
          <w:sz w:val="21"/>
          <w:szCs w:val="22"/>
        </w:rPr>
        <w:t>2023</w:t>
      </w:r>
      <w:r w:rsidRPr="00606927">
        <w:rPr>
          <w:rFonts w:asciiTheme="minorHAnsi" w:eastAsiaTheme="minorEastAsia" w:hAnsiTheme="minorHAnsi" w:cs="Times New Roman" w:hint="eastAsia"/>
          <w:kern w:val="2"/>
          <w:sz w:val="21"/>
          <w:szCs w:val="22"/>
        </w:rPr>
        <w:t>年</w:t>
      </w:r>
      <w:r w:rsidRPr="00606927">
        <w:rPr>
          <w:rFonts w:asciiTheme="minorHAnsi" w:eastAsiaTheme="minorEastAsia" w:hAnsiTheme="minorHAnsi" w:cs="Times New Roman" w:hint="eastAsia"/>
          <w:kern w:val="2"/>
          <w:sz w:val="21"/>
          <w:szCs w:val="22"/>
        </w:rPr>
        <w:t>12</w:t>
      </w:r>
      <w:r w:rsidRPr="00606927">
        <w:rPr>
          <w:rFonts w:asciiTheme="minorHAnsi" w:eastAsiaTheme="minorEastAsia" w:hAnsiTheme="minorHAnsi" w:cs="Times New Roman" w:hint="eastAsia"/>
          <w:kern w:val="2"/>
          <w:sz w:val="21"/>
          <w:szCs w:val="22"/>
        </w:rPr>
        <w:t>月</w:t>
      </w:r>
      <w:r w:rsidRPr="00606927">
        <w:rPr>
          <w:rFonts w:asciiTheme="minorHAnsi" w:eastAsiaTheme="minorEastAsia" w:hAnsiTheme="minorHAnsi" w:cs="Times New Roman" w:hint="eastAsia"/>
          <w:kern w:val="2"/>
          <w:sz w:val="21"/>
          <w:szCs w:val="22"/>
        </w:rPr>
        <w:t>31</w:t>
      </w:r>
      <w:r w:rsidRPr="00606927">
        <w:rPr>
          <w:rFonts w:asciiTheme="minorHAnsi" w:eastAsiaTheme="minorEastAsia" w:hAnsiTheme="minorHAnsi" w:cs="Times New Roman" w:hint="eastAsia"/>
          <w:kern w:val="2"/>
          <w:sz w:val="21"/>
          <w:szCs w:val="22"/>
        </w:rPr>
        <w:t>日的合并及母公司资产负债表，</w:t>
      </w:r>
      <w:r w:rsidRPr="00606927">
        <w:rPr>
          <w:rFonts w:asciiTheme="minorHAnsi" w:eastAsiaTheme="minorEastAsia" w:hAnsiTheme="minorHAnsi" w:cs="Times New Roman" w:hint="eastAsia"/>
          <w:kern w:val="2"/>
          <w:sz w:val="21"/>
          <w:szCs w:val="22"/>
        </w:rPr>
        <w:t>2023</w:t>
      </w:r>
      <w:r w:rsidRPr="00606927">
        <w:rPr>
          <w:rFonts w:asciiTheme="minorHAnsi" w:eastAsiaTheme="minorEastAsia" w:hAnsiTheme="minorHAnsi" w:cs="Times New Roman" w:hint="eastAsia"/>
          <w:kern w:val="2"/>
          <w:sz w:val="21"/>
          <w:szCs w:val="22"/>
        </w:rPr>
        <w:t>年度的合并及母公司利润表、合并及母公司现金流量表、合并及母公司股东权益变动表以及相关财务报表附注。</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我们认为，后附的财务报表在所有重大方面按照企业会计准则的规定编制，公允反映了贵公司</w:t>
      </w:r>
      <w:r w:rsidRPr="00606927">
        <w:rPr>
          <w:rFonts w:asciiTheme="minorHAnsi" w:eastAsiaTheme="minorEastAsia" w:hAnsiTheme="minorHAnsi" w:cs="Times New Roman" w:hint="eastAsia"/>
          <w:kern w:val="2"/>
          <w:sz w:val="21"/>
          <w:szCs w:val="22"/>
        </w:rPr>
        <w:t>2023</w:t>
      </w:r>
      <w:r w:rsidRPr="00606927">
        <w:rPr>
          <w:rFonts w:asciiTheme="minorHAnsi" w:eastAsiaTheme="minorEastAsia" w:hAnsiTheme="minorHAnsi" w:cs="Times New Roman" w:hint="eastAsia"/>
          <w:kern w:val="2"/>
          <w:sz w:val="21"/>
          <w:szCs w:val="22"/>
        </w:rPr>
        <w:t>年</w:t>
      </w:r>
      <w:r w:rsidRPr="00606927">
        <w:rPr>
          <w:rFonts w:asciiTheme="minorHAnsi" w:eastAsiaTheme="minorEastAsia" w:hAnsiTheme="minorHAnsi" w:cs="Times New Roman" w:hint="eastAsia"/>
          <w:kern w:val="2"/>
          <w:sz w:val="21"/>
          <w:szCs w:val="22"/>
        </w:rPr>
        <w:t>12</w:t>
      </w:r>
      <w:r w:rsidRPr="00606927">
        <w:rPr>
          <w:rFonts w:asciiTheme="minorHAnsi" w:eastAsiaTheme="minorEastAsia" w:hAnsiTheme="minorHAnsi" w:cs="Times New Roman" w:hint="eastAsia"/>
          <w:kern w:val="2"/>
          <w:sz w:val="21"/>
          <w:szCs w:val="22"/>
        </w:rPr>
        <w:t>月</w:t>
      </w:r>
      <w:r w:rsidRPr="00606927">
        <w:rPr>
          <w:rFonts w:asciiTheme="minorHAnsi" w:eastAsiaTheme="minorEastAsia" w:hAnsiTheme="minorHAnsi" w:cs="Times New Roman" w:hint="eastAsia"/>
          <w:kern w:val="2"/>
          <w:sz w:val="21"/>
          <w:szCs w:val="22"/>
        </w:rPr>
        <w:t>31</w:t>
      </w:r>
      <w:r w:rsidRPr="00606927">
        <w:rPr>
          <w:rFonts w:asciiTheme="minorHAnsi" w:eastAsiaTheme="minorEastAsia" w:hAnsiTheme="minorHAnsi" w:cs="Times New Roman" w:hint="eastAsia"/>
          <w:kern w:val="2"/>
          <w:sz w:val="21"/>
          <w:szCs w:val="22"/>
        </w:rPr>
        <w:t>日合并及母公司的财务状况以及</w:t>
      </w:r>
      <w:r w:rsidRPr="00606927">
        <w:rPr>
          <w:rFonts w:asciiTheme="minorHAnsi" w:eastAsiaTheme="minorEastAsia" w:hAnsiTheme="minorHAnsi" w:cs="Times New Roman" w:hint="eastAsia"/>
          <w:kern w:val="2"/>
          <w:sz w:val="21"/>
          <w:szCs w:val="22"/>
        </w:rPr>
        <w:t>2023</w:t>
      </w:r>
      <w:r w:rsidRPr="00606927">
        <w:rPr>
          <w:rFonts w:asciiTheme="minorHAnsi" w:eastAsiaTheme="minorEastAsia" w:hAnsiTheme="minorHAnsi" w:cs="Times New Roman" w:hint="eastAsia"/>
          <w:kern w:val="2"/>
          <w:sz w:val="21"/>
          <w:szCs w:val="22"/>
        </w:rPr>
        <w:t>年度合并及母公司的经营成果和现金流量。</w:t>
      </w:r>
    </w:p>
    <w:p w:rsidR="008D4B2E" w:rsidRPr="00606927" w:rsidRDefault="008D4B2E">
      <w:pPr>
        <w:widowControl/>
        <w:numPr>
          <w:ilvl w:val="0"/>
          <w:numId w:val="2"/>
        </w:numPr>
        <w:spacing w:before="100" w:beforeAutospacing="1" w:after="100" w:afterAutospacing="1"/>
        <w:divId w:val="478041031"/>
        <w:rPr>
          <w:rStyle w:val="a4"/>
          <w:szCs w:val="21"/>
        </w:rPr>
      </w:pPr>
      <w:r w:rsidRPr="00606927">
        <w:rPr>
          <w:rStyle w:val="a4"/>
          <w:rFonts w:hint="eastAsia"/>
          <w:szCs w:val="21"/>
        </w:rPr>
        <w:t>形成审计意见的基础</w:t>
      </w:r>
    </w:p>
    <w:p w:rsidR="008D4B2E" w:rsidRDefault="008D4B2E">
      <w:pPr>
        <w:pStyle w:val="a3"/>
        <w:spacing w:before="0" w:beforeAutospacing="0" w:after="0" w:afterAutospacing="0" w:line="360" w:lineRule="auto"/>
        <w:ind w:firstLine="480"/>
        <w:jc w:val="both"/>
        <w:divId w:val="478041031"/>
        <w:rPr>
          <w:rFonts w:ascii="Times New Roman" w:hAnsi="Times New Roman" w:cs="Times New Roman"/>
          <w:sz w:val="21"/>
          <w:szCs w:val="21"/>
        </w:rPr>
      </w:pPr>
      <w:r w:rsidRPr="00606927">
        <w:rPr>
          <w:rFonts w:asciiTheme="minorHAnsi" w:eastAsiaTheme="minorEastAsia" w:hAnsiTheme="minorHAnsi" w:cs="Times New Roman" w:hint="eastAsia"/>
          <w:kern w:val="2"/>
          <w:sz w:val="21"/>
          <w:szCs w:val="22"/>
        </w:rPr>
        <w:t>我们按照中国注册会计师审计准则的规定执行了审计工作。审计报告的“注册会计师对财务报表审计的责任”部分进一步阐述了我们在这些准则下的责任。按照中国注册会计师职业道德守则，我们独立于贵公司，并履行了职业道德方面的其他责任。我们相信，我们获取的审计证据是充分、适当的，为发表审计意见提供了基础。</w:t>
      </w:r>
    </w:p>
    <w:p w:rsidR="008D4B2E" w:rsidRPr="00606927" w:rsidRDefault="008D4B2E">
      <w:pPr>
        <w:widowControl/>
        <w:numPr>
          <w:ilvl w:val="0"/>
          <w:numId w:val="3"/>
        </w:numPr>
        <w:spacing w:before="100" w:beforeAutospacing="1" w:after="100" w:afterAutospacing="1"/>
        <w:divId w:val="478041031"/>
        <w:rPr>
          <w:rStyle w:val="a4"/>
          <w:szCs w:val="21"/>
        </w:rPr>
      </w:pPr>
      <w:r w:rsidRPr="00606927">
        <w:rPr>
          <w:rStyle w:val="a4"/>
          <w:rFonts w:hint="eastAsia"/>
          <w:szCs w:val="21"/>
        </w:rPr>
        <w:t>关键审计事项</w:t>
      </w:r>
    </w:p>
    <w:p w:rsidR="008D4B2E" w:rsidRDefault="008D4B2E">
      <w:pPr>
        <w:pStyle w:val="a3"/>
        <w:spacing w:before="0" w:beforeAutospacing="0" w:after="0" w:afterAutospacing="0" w:line="360" w:lineRule="auto"/>
        <w:ind w:firstLine="480"/>
        <w:jc w:val="both"/>
        <w:divId w:val="478041031"/>
        <w:rPr>
          <w:rFonts w:ascii="Times New Roman" w:hAnsi="Times New Roman" w:cs="Times New Roman"/>
          <w:sz w:val="21"/>
          <w:szCs w:val="21"/>
        </w:rPr>
      </w:pPr>
      <w:r w:rsidRPr="00606927">
        <w:rPr>
          <w:rFonts w:asciiTheme="minorHAnsi" w:eastAsiaTheme="minorEastAsia" w:hAnsiTheme="minorHAnsi" w:cs="Times New Roman" w:hint="eastAsia"/>
          <w:kern w:val="2"/>
          <w:sz w:val="21"/>
          <w:szCs w:val="22"/>
        </w:rPr>
        <w:t>关键审计事项是我们根据职业判断，认为对本期财务报表审计最为重要的事项。这些事项的应对以对财务报表整体进行审计并形成意见为背景，我们不对这些事项单独发表意见。我们确定下列事项是需要在审计报告中沟通的关键审计事项。</w:t>
      </w:r>
    </w:p>
    <w:p w:rsidR="008D4B2E" w:rsidRPr="00606927" w:rsidRDefault="008D4B2E">
      <w:pPr>
        <w:pStyle w:val="a3"/>
        <w:spacing w:before="0" w:beforeAutospacing="0" w:after="0" w:afterAutospacing="0" w:line="360" w:lineRule="auto"/>
        <w:ind w:firstLine="482"/>
        <w:jc w:val="both"/>
        <w:divId w:val="478041031"/>
        <w:rPr>
          <w:rStyle w:val="a4"/>
          <w:rFonts w:asciiTheme="minorHAnsi" w:eastAsiaTheme="minorEastAsia" w:hAnsiTheme="minorHAnsi" w:cstheme="minorBidi"/>
          <w:kern w:val="2"/>
        </w:rPr>
      </w:pPr>
      <w:r w:rsidRPr="00606927">
        <w:rPr>
          <w:rStyle w:val="a4"/>
          <w:rFonts w:asciiTheme="minorHAnsi" w:eastAsiaTheme="minorEastAsia" w:hAnsiTheme="minorHAnsi" w:cstheme="minorBidi" w:hint="eastAsia"/>
          <w:kern w:val="2"/>
          <w:sz w:val="21"/>
          <w:szCs w:val="21"/>
        </w:rPr>
        <w:t>（一）收入的确认</w:t>
      </w:r>
    </w:p>
    <w:p w:rsidR="008D4B2E" w:rsidRPr="00606927" w:rsidRDefault="008D4B2E">
      <w:pPr>
        <w:pStyle w:val="a3"/>
        <w:spacing w:before="0" w:beforeAutospacing="0" w:after="0" w:afterAutospacing="0" w:line="360" w:lineRule="auto"/>
        <w:ind w:firstLine="482"/>
        <w:jc w:val="both"/>
        <w:divId w:val="478041031"/>
        <w:rPr>
          <w:rStyle w:val="a4"/>
          <w:rFonts w:asciiTheme="minorHAnsi" w:eastAsiaTheme="minorEastAsia" w:hAnsiTheme="minorHAnsi" w:cstheme="minorBidi"/>
          <w:kern w:val="2"/>
        </w:rPr>
      </w:pPr>
      <w:r w:rsidRPr="00606927">
        <w:rPr>
          <w:rStyle w:val="a4"/>
          <w:rFonts w:asciiTheme="minorHAnsi" w:eastAsiaTheme="minorEastAsia" w:hAnsiTheme="minorHAnsi" w:cstheme="minorBidi"/>
          <w:kern w:val="2"/>
          <w:sz w:val="21"/>
          <w:szCs w:val="21"/>
        </w:rPr>
        <w:t>1</w:t>
      </w:r>
      <w:r w:rsidRPr="00606927">
        <w:rPr>
          <w:rStyle w:val="a4"/>
          <w:rFonts w:asciiTheme="minorHAnsi" w:eastAsiaTheme="minorEastAsia" w:hAnsiTheme="minorHAnsi" w:cstheme="minorBidi" w:hint="eastAsia"/>
          <w:kern w:val="2"/>
          <w:sz w:val="21"/>
          <w:szCs w:val="21"/>
        </w:rPr>
        <w:t>、事项描述</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lastRenderedPageBreak/>
        <w:t>如贵公司财务报表附注四、</w:t>
      </w:r>
      <w:r w:rsidRPr="00606927">
        <w:rPr>
          <w:rFonts w:asciiTheme="minorHAnsi" w:eastAsiaTheme="minorEastAsia" w:hAnsiTheme="minorHAnsi" w:cs="Times New Roman"/>
          <w:kern w:val="2"/>
          <w:sz w:val="21"/>
          <w:szCs w:val="22"/>
        </w:rPr>
        <w:t>27</w:t>
      </w:r>
      <w:r w:rsidRPr="00606927">
        <w:rPr>
          <w:rFonts w:asciiTheme="minorHAnsi" w:eastAsiaTheme="minorEastAsia" w:hAnsiTheme="minorHAnsi" w:cs="Times New Roman" w:hint="eastAsia"/>
          <w:kern w:val="2"/>
          <w:sz w:val="21"/>
          <w:szCs w:val="22"/>
        </w:rPr>
        <w:t>及附注六、</w:t>
      </w:r>
      <w:r w:rsidRPr="00606927">
        <w:rPr>
          <w:rFonts w:asciiTheme="minorHAnsi" w:eastAsiaTheme="minorEastAsia" w:hAnsiTheme="minorHAnsi" w:cs="Times New Roman"/>
          <w:kern w:val="2"/>
          <w:sz w:val="21"/>
          <w:szCs w:val="22"/>
        </w:rPr>
        <w:t>42</w:t>
      </w:r>
      <w:r w:rsidRPr="00606927">
        <w:rPr>
          <w:rFonts w:asciiTheme="minorHAnsi" w:eastAsiaTheme="minorEastAsia" w:hAnsiTheme="minorHAnsi" w:cs="Times New Roman" w:hint="eastAsia"/>
          <w:kern w:val="2"/>
          <w:sz w:val="21"/>
          <w:szCs w:val="22"/>
        </w:rPr>
        <w:t>所示，于</w:t>
      </w:r>
      <w:r w:rsidRPr="00606927">
        <w:rPr>
          <w:rFonts w:asciiTheme="minorHAnsi" w:eastAsiaTheme="minorEastAsia" w:hAnsiTheme="minorHAnsi" w:cs="Times New Roman"/>
          <w:kern w:val="2"/>
          <w:sz w:val="21"/>
          <w:szCs w:val="22"/>
        </w:rPr>
        <w:t>2023</w:t>
      </w:r>
      <w:r w:rsidRPr="00606927">
        <w:rPr>
          <w:rFonts w:asciiTheme="minorHAnsi" w:eastAsiaTheme="minorEastAsia" w:hAnsiTheme="minorHAnsi" w:cs="Times New Roman" w:hint="eastAsia"/>
          <w:kern w:val="2"/>
          <w:sz w:val="21"/>
          <w:szCs w:val="22"/>
        </w:rPr>
        <w:t>年度，贵公司合并财务报表中的主营业务收入为</w:t>
      </w:r>
      <w:r w:rsidRPr="00606927">
        <w:rPr>
          <w:rFonts w:asciiTheme="minorHAnsi" w:eastAsiaTheme="minorEastAsia" w:hAnsiTheme="minorHAnsi" w:cs="Times New Roman"/>
          <w:kern w:val="2"/>
          <w:sz w:val="21"/>
          <w:szCs w:val="22"/>
        </w:rPr>
        <w:t>5,485,228,857.05</w:t>
      </w:r>
      <w:r w:rsidRPr="00606927">
        <w:rPr>
          <w:rFonts w:asciiTheme="minorHAnsi" w:eastAsiaTheme="minorEastAsia" w:hAnsiTheme="minorHAnsi" w:cs="Times New Roman" w:hint="eastAsia"/>
          <w:kern w:val="2"/>
          <w:sz w:val="21"/>
          <w:szCs w:val="22"/>
        </w:rPr>
        <w:t>元，其中绝大部分为机械设备的销售收入，根据销售合同约定，通常以产品完成安装调试并验收合格后确认销售收入。</w:t>
      </w:r>
    </w:p>
    <w:p w:rsidR="008D4B2E" w:rsidRDefault="008D4B2E">
      <w:pPr>
        <w:pStyle w:val="a3"/>
        <w:spacing w:before="0" w:beforeAutospacing="0" w:after="0" w:afterAutospacing="0" w:line="360" w:lineRule="auto"/>
        <w:ind w:firstLine="480"/>
        <w:jc w:val="both"/>
        <w:divId w:val="478041031"/>
        <w:rPr>
          <w:rFonts w:ascii="Times New Roman" w:hAnsi="Times New Roman" w:cs="Times New Roman"/>
          <w:sz w:val="21"/>
          <w:szCs w:val="21"/>
        </w:rPr>
      </w:pPr>
      <w:r w:rsidRPr="00606927">
        <w:rPr>
          <w:rFonts w:asciiTheme="minorHAnsi" w:eastAsiaTheme="minorEastAsia" w:hAnsiTheme="minorHAnsi" w:cs="Times New Roman" w:hint="eastAsia"/>
          <w:kern w:val="2"/>
          <w:sz w:val="21"/>
          <w:szCs w:val="22"/>
        </w:rPr>
        <w:t>由于收入是贵公司的关键业绩指标之一，从而存在管理层为了达到特定目标或期望而操纵收入确认时点的固有风险，因此我们将贵公司收入确认识别为关键审计事项。</w:t>
      </w:r>
    </w:p>
    <w:p w:rsidR="008D4B2E" w:rsidRPr="00606927" w:rsidRDefault="008D4B2E">
      <w:pPr>
        <w:pStyle w:val="a3"/>
        <w:spacing w:before="0" w:beforeAutospacing="0" w:after="0" w:afterAutospacing="0" w:line="360" w:lineRule="auto"/>
        <w:ind w:firstLine="482"/>
        <w:jc w:val="both"/>
        <w:divId w:val="478041031"/>
        <w:rPr>
          <w:rStyle w:val="a4"/>
          <w:rFonts w:asciiTheme="minorHAnsi" w:eastAsiaTheme="minorEastAsia" w:hAnsiTheme="minorHAnsi" w:cstheme="minorBidi"/>
          <w:kern w:val="2"/>
        </w:rPr>
      </w:pPr>
      <w:r w:rsidRPr="00606927">
        <w:rPr>
          <w:rStyle w:val="a4"/>
          <w:rFonts w:asciiTheme="minorHAnsi" w:eastAsiaTheme="minorEastAsia" w:hAnsiTheme="minorHAnsi" w:cstheme="minorBidi"/>
          <w:kern w:val="2"/>
          <w:sz w:val="21"/>
          <w:szCs w:val="21"/>
        </w:rPr>
        <w:t>2</w:t>
      </w:r>
      <w:r w:rsidRPr="00606927">
        <w:rPr>
          <w:rStyle w:val="a4"/>
          <w:rFonts w:asciiTheme="minorHAnsi" w:eastAsiaTheme="minorEastAsia" w:hAnsiTheme="minorHAnsi" w:cstheme="minorBidi" w:hint="eastAsia"/>
          <w:kern w:val="2"/>
          <w:sz w:val="21"/>
          <w:szCs w:val="21"/>
        </w:rPr>
        <w:t>、审计应对</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①了解和评价管理层与收入确认相关的关键内部控制的设计和运行有效性；</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②从销售合同中选取样本进行检查，识别与商品控制权转移相关的合同条款与条件，评价贵公司的收入确认时点是否符合企业会计准则的要求；</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③从本年记录的收入交易中选取样本，核对销售合同及验收单等支撑性文件，评价相关收入确认是否符合贵公司收入确认的会计政策；</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④从本年记录的收入交易中选取样本，</w:t>
      </w:r>
      <w:proofErr w:type="gramStart"/>
      <w:r w:rsidRPr="00606927">
        <w:rPr>
          <w:rFonts w:asciiTheme="minorHAnsi" w:eastAsiaTheme="minorEastAsia" w:hAnsiTheme="minorHAnsi" w:cs="Times New Roman" w:hint="eastAsia"/>
          <w:kern w:val="2"/>
          <w:sz w:val="21"/>
          <w:szCs w:val="22"/>
        </w:rPr>
        <w:t>函证相应</w:t>
      </w:r>
      <w:proofErr w:type="gramEnd"/>
      <w:r w:rsidRPr="00606927">
        <w:rPr>
          <w:rFonts w:asciiTheme="minorHAnsi" w:eastAsiaTheme="minorEastAsia" w:hAnsiTheme="minorHAnsi" w:cs="Times New Roman" w:hint="eastAsia"/>
          <w:kern w:val="2"/>
          <w:sz w:val="21"/>
          <w:szCs w:val="22"/>
        </w:rPr>
        <w:t>客户的营业收入金额及应收账款余额，确认双方对产品的验收合格是否达成一致，计量是否准确；</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⑤从资产负债表日前</w:t>
      </w:r>
      <w:proofErr w:type="gramStart"/>
      <w:r w:rsidRPr="00606927">
        <w:rPr>
          <w:rFonts w:asciiTheme="minorHAnsi" w:eastAsiaTheme="minorEastAsia" w:hAnsiTheme="minorHAnsi" w:cs="Times New Roman" w:hint="eastAsia"/>
          <w:kern w:val="2"/>
          <w:sz w:val="21"/>
          <w:szCs w:val="22"/>
        </w:rPr>
        <w:t>后记录</w:t>
      </w:r>
      <w:proofErr w:type="gramEnd"/>
      <w:r w:rsidRPr="00606927">
        <w:rPr>
          <w:rFonts w:asciiTheme="minorHAnsi" w:eastAsiaTheme="minorEastAsia" w:hAnsiTheme="minorHAnsi" w:cs="Times New Roman" w:hint="eastAsia"/>
          <w:kern w:val="2"/>
          <w:sz w:val="21"/>
          <w:szCs w:val="22"/>
        </w:rPr>
        <w:t>的收入交易中选取样本，核对验收单及其他支持性文件，以评价收入是否被记录于恰当的会计期间；</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⑥选取本年度符合特定风险标准的收入会计分录，检查相关支持性文件。</w:t>
      </w:r>
    </w:p>
    <w:p w:rsidR="008D4B2E" w:rsidRPr="00606927" w:rsidRDefault="008D4B2E" w:rsidP="00606927">
      <w:pPr>
        <w:widowControl/>
        <w:tabs>
          <w:tab w:val="num" w:pos="720"/>
        </w:tabs>
        <w:spacing w:before="100" w:beforeAutospacing="1" w:after="100" w:afterAutospacing="1"/>
        <w:ind w:left="720" w:hanging="360"/>
        <w:divId w:val="478041031"/>
        <w:rPr>
          <w:rStyle w:val="a4"/>
        </w:rPr>
      </w:pPr>
      <w:r w:rsidRPr="00606927">
        <w:rPr>
          <w:rStyle w:val="a4"/>
          <w:rFonts w:hint="eastAsia"/>
          <w:szCs w:val="21"/>
        </w:rPr>
        <w:t>（二）在产品账面价值的确认</w:t>
      </w:r>
    </w:p>
    <w:p w:rsidR="008D4B2E" w:rsidRPr="00606927" w:rsidRDefault="008D4B2E" w:rsidP="00606927">
      <w:pPr>
        <w:widowControl/>
        <w:tabs>
          <w:tab w:val="num" w:pos="720"/>
        </w:tabs>
        <w:spacing w:before="100" w:beforeAutospacing="1" w:after="100" w:afterAutospacing="1"/>
        <w:ind w:left="720" w:hanging="360"/>
        <w:divId w:val="478041031"/>
        <w:rPr>
          <w:rStyle w:val="a4"/>
        </w:rPr>
      </w:pPr>
      <w:r w:rsidRPr="00606927">
        <w:rPr>
          <w:rStyle w:val="a4"/>
          <w:szCs w:val="21"/>
        </w:rPr>
        <w:t>1</w:t>
      </w:r>
      <w:r w:rsidRPr="00606927">
        <w:rPr>
          <w:rStyle w:val="a4"/>
          <w:rFonts w:hint="eastAsia"/>
          <w:szCs w:val="21"/>
        </w:rPr>
        <w:t>、事项描述</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如贵公司财务报表附注四、</w:t>
      </w:r>
      <w:r w:rsidRPr="00606927">
        <w:rPr>
          <w:rFonts w:asciiTheme="minorHAnsi" w:eastAsiaTheme="minorEastAsia" w:hAnsiTheme="minorHAnsi" w:cs="Times New Roman"/>
          <w:kern w:val="2"/>
          <w:sz w:val="21"/>
          <w:szCs w:val="22"/>
        </w:rPr>
        <w:t>11</w:t>
      </w:r>
      <w:r w:rsidRPr="00606927">
        <w:rPr>
          <w:rFonts w:asciiTheme="minorHAnsi" w:eastAsiaTheme="minorEastAsia" w:hAnsiTheme="minorHAnsi" w:cs="Times New Roman" w:hint="eastAsia"/>
          <w:kern w:val="2"/>
          <w:sz w:val="21"/>
          <w:szCs w:val="22"/>
        </w:rPr>
        <w:t>及附注六、</w:t>
      </w:r>
      <w:r w:rsidRPr="00606927">
        <w:rPr>
          <w:rFonts w:asciiTheme="minorHAnsi" w:eastAsiaTheme="minorEastAsia" w:hAnsiTheme="minorHAnsi" w:cs="Times New Roman"/>
          <w:kern w:val="2"/>
          <w:sz w:val="21"/>
          <w:szCs w:val="22"/>
        </w:rPr>
        <w:t>8</w:t>
      </w:r>
      <w:r w:rsidRPr="00606927">
        <w:rPr>
          <w:rFonts w:asciiTheme="minorHAnsi" w:eastAsiaTheme="minorEastAsia" w:hAnsiTheme="minorHAnsi" w:cs="Times New Roman" w:hint="eastAsia"/>
          <w:kern w:val="2"/>
          <w:sz w:val="21"/>
          <w:szCs w:val="22"/>
        </w:rPr>
        <w:t>所示，</w:t>
      </w:r>
      <w:r w:rsidRPr="00606927">
        <w:rPr>
          <w:rFonts w:asciiTheme="minorHAnsi" w:eastAsiaTheme="minorEastAsia" w:hAnsiTheme="minorHAnsi" w:cs="Times New Roman"/>
          <w:kern w:val="2"/>
          <w:sz w:val="21"/>
          <w:szCs w:val="22"/>
        </w:rPr>
        <w:t>2023</w:t>
      </w:r>
      <w:r w:rsidRPr="00606927">
        <w:rPr>
          <w:rFonts w:asciiTheme="minorHAnsi" w:eastAsiaTheme="minorEastAsia" w:hAnsiTheme="minorHAnsi" w:cs="Times New Roman" w:hint="eastAsia"/>
          <w:kern w:val="2"/>
          <w:sz w:val="21"/>
          <w:szCs w:val="22"/>
        </w:rPr>
        <w:t>年</w:t>
      </w:r>
      <w:r w:rsidRPr="00606927">
        <w:rPr>
          <w:rFonts w:asciiTheme="minorHAnsi" w:eastAsiaTheme="minorEastAsia" w:hAnsiTheme="minorHAnsi" w:cs="Times New Roman"/>
          <w:kern w:val="2"/>
          <w:sz w:val="21"/>
          <w:szCs w:val="22"/>
        </w:rPr>
        <w:t>12</w:t>
      </w:r>
      <w:r w:rsidRPr="00606927">
        <w:rPr>
          <w:rFonts w:asciiTheme="minorHAnsi" w:eastAsiaTheme="minorEastAsia" w:hAnsiTheme="minorHAnsi" w:cs="Times New Roman" w:hint="eastAsia"/>
          <w:kern w:val="2"/>
          <w:sz w:val="21"/>
          <w:szCs w:val="22"/>
        </w:rPr>
        <w:t>月</w:t>
      </w:r>
      <w:r w:rsidRPr="00606927">
        <w:rPr>
          <w:rFonts w:asciiTheme="minorHAnsi" w:eastAsiaTheme="minorEastAsia" w:hAnsiTheme="minorHAnsi" w:cs="Times New Roman"/>
          <w:kern w:val="2"/>
          <w:sz w:val="21"/>
          <w:szCs w:val="22"/>
        </w:rPr>
        <w:t>31</w:t>
      </w:r>
      <w:r w:rsidRPr="00606927">
        <w:rPr>
          <w:rFonts w:asciiTheme="minorHAnsi" w:eastAsiaTheme="minorEastAsia" w:hAnsiTheme="minorHAnsi" w:cs="Times New Roman" w:hint="eastAsia"/>
          <w:kern w:val="2"/>
          <w:sz w:val="21"/>
          <w:szCs w:val="22"/>
        </w:rPr>
        <w:t>日贵公司合并财务报表中存货账面余额为</w:t>
      </w:r>
      <w:r w:rsidRPr="00606927">
        <w:rPr>
          <w:rFonts w:asciiTheme="minorHAnsi" w:eastAsiaTheme="minorEastAsia" w:hAnsiTheme="minorHAnsi" w:cs="Times New Roman"/>
          <w:kern w:val="2"/>
          <w:sz w:val="21"/>
          <w:szCs w:val="22"/>
        </w:rPr>
        <w:t>5,902,994,144.42</w:t>
      </w:r>
      <w:r w:rsidRPr="00606927">
        <w:rPr>
          <w:rFonts w:asciiTheme="minorHAnsi" w:eastAsiaTheme="minorEastAsia" w:hAnsiTheme="minorHAnsi" w:cs="Times New Roman" w:hint="eastAsia"/>
          <w:kern w:val="2"/>
          <w:sz w:val="21"/>
          <w:szCs w:val="22"/>
        </w:rPr>
        <w:t>元，其中在产品账面余额</w:t>
      </w:r>
      <w:r w:rsidRPr="00606927">
        <w:rPr>
          <w:rFonts w:asciiTheme="minorHAnsi" w:eastAsiaTheme="minorEastAsia" w:hAnsiTheme="minorHAnsi" w:cs="Times New Roman"/>
          <w:kern w:val="2"/>
          <w:sz w:val="21"/>
          <w:szCs w:val="22"/>
        </w:rPr>
        <w:t>5,176,394,976.56</w:t>
      </w:r>
      <w:r w:rsidRPr="00606927">
        <w:rPr>
          <w:rFonts w:asciiTheme="minorHAnsi" w:eastAsiaTheme="minorEastAsia" w:hAnsiTheme="minorHAnsi" w:cs="Times New Roman" w:hint="eastAsia"/>
          <w:kern w:val="2"/>
          <w:sz w:val="21"/>
          <w:szCs w:val="22"/>
        </w:rPr>
        <w:t>元，占比</w:t>
      </w:r>
      <w:r w:rsidRPr="00606927">
        <w:rPr>
          <w:rFonts w:asciiTheme="minorHAnsi" w:eastAsiaTheme="minorEastAsia" w:hAnsiTheme="minorHAnsi" w:cs="Times New Roman"/>
          <w:kern w:val="2"/>
          <w:sz w:val="21"/>
          <w:szCs w:val="22"/>
        </w:rPr>
        <w:t>87.69%</w:t>
      </w:r>
      <w:r w:rsidRPr="00606927">
        <w:rPr>
          <w:rFonts w:asciiTheme="minorHAnsi" w:eastAsiaTheme="minorEastAsia" w:hAnsiTheme="minorHAnsi" w:cs="Times New Roman" w:hint="eastAsia"/>
          <w:kern w:val="2"/>
          <w:sz w:val="21"/>
          <w:szCs w:val="22"/>
        </w:rPr>
        <w:t>。</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贵公司的在产品的主要构成为针对不同客户进行设计制造的橡胶装备，橡胶装备间的可替代性弱，具有定制性强、生产安装调试周期长等特性，因此我们将贵公司在产品账面价值的确认识别为关键审计事项。</w:t>
      </w:r>
    </w:p>
    <w:p w:rsidR="008D4B2E" w:rsidRPr="00606927" w:rsidRDefault="008D4B2E" w:rsidP="00606927">
      <w:pPr>
        <w:widowControl/>
        <w:tabs>
          <w:tab w:val="num" w:pos="720"/>
        </w:tabs>
        <w:spacing w:before="100" w:beforeAutospacing="1" w:after="100" w:afterAutospacing="1"/>
        <w:ind w:left="720" w:hanging="360"/>
        <w:divId w:val="478041031"/>
        <w:rPr>
          <w:rStyle w:val="a4"/>
        </w:rPr>
      </w:pPr>
      <w:r w:rsidRPr="00606927">
        <w:rPr>
          <w:rStyle w:val="a4"/>
          <w:szCs w:val="21"/>
        </w:rPr>
        <w:t>2</w:t>
      </w:r>
      <w:r w:rsidRPr="00606927">
        <w:rPr>
          <w:rStyle w:val="a4"/>
          <w:rFonts w:hint="eastAsia"/>
          <w:szCs w:val="21"/>
        </w:rPr>
        <w:t>、审计应对</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①了解管理层与存货管理相关的内部控制，并评价这些内部控制的设计和运行的有效性；</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②获取期末在产品余额明细表，结合本年度的新签订单和验收订单，分析在产品的数量变动是否与订单的签订和验收情况相匹配；</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③结合对期末在产品的监盘、以及客户现场走访，核实合同的执行情况和在产品的状况；</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lastRenderedPageBreak/>
        <w:t>④获取长期未验收的在产品明细表，了解未验收原因，结合已收到的项目进度款，判断在产品项目是否已发生了减值</w:t>
      </w:r>
      <w:r w:rsidRPr="00606927">
        <w:rPr>
          <w:rFonts w:asciiTheme="minorHAnsi" w:eastAsiaTheme="minorEastAsia" w:hAnsiTheme="minorHAnsi" w:cs="Times New Roman"/>
          <w:kern w:val="2"/>
          <w:sz w:val="21"/>
          <w:szCs w:val="22"/>
        </w:rPr>
        <w:t>;</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⑤获取存货跌价准备计算表，检查是否按公司相关会计政策执行，检查以前年度计提的存货跌价准备本期的变化情况等，分析存货跌价准备计提是否充分</w:t>
      </w:r>
      <w:r w:rsidRPr="00606927">
        <w:rPr>
          <w:rFonts w:asciiTheme="minorHAnsi" w:eastAsiaTheme="minorEastAsia" w:hAnsiTheme="minorHAnsi" w:cs="Times New Roman"/>
          <w:kern w:val="2"/>
          <w:sz w:val="21"/>
          <w:szCs w:val="22"/>
        </w:rPr>
        <w:t>;</w:t>
      </w:r>
    </w:p>
    <w:p w:rsidR="008D4B2E" w:rsidRPr="00606927" w:rsidRDefault="008D4B2E">
      <w:pPr>
        <w:pStyle w:val="a3"/>
        <w:spacing w:before="0" w:beforeAutospacing="0" w:after="0" w:afterAutospacing="0" w:line="360" w:lineRule="auto"/>
        <w:ind w:firstLine="480"/>
        <w:jc w:val="both"/>
        <w:divId w:val="478041031"/>
        <w:rPr>
          <w:rFonts w:asciiTheme="minorHAnsi" w:eastAsiaTheme="minorEastAsia" w:hAnsiTheme="minorHAnsi" w:cs="Times New Roman"/>
          <w:kern w:val="2"/>
          <w:sz w:val="21"/>
          <w:szCs w:val="22"/>
        </w:rPr>
      </w:pPr>
      <w:r w:rsidRPr="00606927">
        <w:rPr>
          <w:rFonts w:asciiTheme="minorHAnsi" w:eastAsiaTheme="minorEastAsia" w:hAnsiTheme="minorHAnsi" w:cs="Times New Roman" w:hint="eastAsia"/>
          <w:kern w:val="2"/>
          <w:sz w:val="21"/>
          <w:szCs w:val="22"/>
        </w:rPr>
        <w:t>⑥与管理层和治理层就计提存货跌价准备计提的依据和结果进行了讨论。</w:t>
      </w:r>
    </w:p>
    <w:p w:rsidR="008D4B2E" w:rsidRPr="00606927" w:rsidRDefault="008D4B2E">
      <w:pPr>
        <w:widowControl/>
        <w:numPr>
          <w:ilvl w:val="0"/>
          <w:numId w:val="4"/>
        </w:numPr>
        <w:spacing w:before="100" w:beforeAutospacing="1" w:after="100" w:afterAutospacing="1"/>
        <w:divId w:val="478041031"/>
        <w:rPr>
          <w:rStyle w:val="a4"/>
          <w:rFonts w:eastAsia="宋体"/>
          <w:szCs w:val="21"/>
        </w:rPr>
      </w:pPr>
      <w:r w:rsidRPr="00606927">
        <w:rPr>
          <w:rStyle w:val="a4"/>
          <w:rFonts w:ascii="宋体" w:eastAsia="宋体" w:hAnsi="宋体" w:hint="eastAsia"/>
          <w:szCs w:val="21"/>
        </w:rPr>
        <w:t>其他信息</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贵公司管理层（以下简称管理层）对其他信息负责。其他信息包括贵公司2023年度报告中涵盖的信息，但不包括财务报表和我们的审计报告。</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我们对财务报表发表的审计意见</w:t>
      </w:r>
      <w:proofErr w:type="gramStart"/>
      <w:r w:rsidRPr="00606927">
        <w:rPr>
          <w:rFonts w:cs="Times New Roman" w:hint="eastAsia"/>
          <w:kern w:val="2"/>
          <w:sz w:val="21"/>
          <w:szCs w:val="21"/>
        </w:rPr>
        <w:t>不</w:t>
      </w:r>
      <w:proofErr w:type="gramEnd"/>
      <w:r w:rsidRPr="00606927">
        <w:rPr>
          <w:rFonts w:cs="Times New Roman" w:hint="eastAsia"/>
          <w:kern w:val="2"/>
          <w:sz w:val="21"/>
          <w:szCs w:val="21"/>
        </w:rPr>
        <w:t>涵盖其他信息，我们也不对其他信息发表任何形式的</w:t>
      </w:r>
      <w:proofErr w:type="gramStart"/>
      <w:r w:rsidRPr="00606927">
        <w:rPr>
          <w:rFonts w:cs="Times New Roman" w:hint="eastAsia"/>
          <w:kern w:val="2"/>
          <w:sz w:val="21"/>
          <w:szCs w:val="21"/>
        </w:rPr>
        <w:t>鉴证</w:t>
      </w:r>
      <w:proofErr w:type="gramEnd"/>
      <w:r w:rsidRPr="00606927">
        <w:rPr>
          <w:rFonts w:cs="Times New Roman" w:hint="eastAsia"/>
          <w:kern w:val="2"/>
          <w:sz w:val="21"/>
          <w:szCs w:val="21"/>
        </w:rPr>
        <w:t xml:space="preserve">结论。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结合我们对财务报表的审计，我们的责任是阅读其他信息，在此过程中，考虑其他信息是否与财务报表或我们在审计过程中了解到的情况存在重大不一致或者似乎存在重大错报。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基于我们已执行的工作，如果我们确定其他信息存在重大错报，我们应当报告该事实。在这方面，我们无任何事项需要报告。</w:t>
      </w:r>
    </w:p>
    <w:p w:rsidR="008D4B2E" w:rsidRDefault="008D4B2E">
      <w:pPr>
        <w:widowControl/>
        <w:numPr>
          <w:ilvl w:val="0"/>
          <w:numId w:val="5"/>
        </w:numPr>
        <w:spacing w:before="100" w:beforeAutospacing="1" w:after="100" w:afterAutospacing="1"/>
        <w:divId w:val="478041031"/>
        <w:rPr>
          <w:rFonts w:ascii="宋体" w:hAnsi="宋体" w:cs="宋体"/>
          <w:sz w:val="18"/>
          <w:szCs w:val="18"/>
        </w:rPr>
      </w:pPr>
      <w:r>
        <w:rPr>
          <w:rStyle w:val="a4"/>
          <w:rFonts w:hint="eastAsia"/>
        </w:rPr>
        <w:t>管理层和治理层对财务报表的责任</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管理</w:t>
      </w:r>
      <w:proofErr w:type="gramStart"/>
      <w:r w:rsidRPr="00606927">
        <w:rPr>
          <w:rFonts w:cs="Times New Roman" w:hint="eastAsia"/>
          <w:kern w:val="2"/>
          <w:sz w:val="21"/>
          <w:szCs w:val="21"/>
        </w:rPr>
        <w:t>层负责</w:t>
      </w:r>
      <w:proofErr w:type="gramEnd"/>
      <w:r w:rsidRPr="00606927">
        <w:rPr>
          <w:rFonts w:cs="Times New Roman" w:hint="eastAsia"/>
          <w:kern w:val="2"/>
          <w:sz w:val="21"/>
          <w:szCs w:val="21"/>
        </w:rPr>
        <w:t>按照企业会计准则的规定编制财务报表，使其实现公允反映，并设计、执行和维护必要的内部控制，以使财务报表不存在由于舞弊或错误导致的重大错报。</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在编制财务报表时，管理</w:t>
      </w:r>
      <w:proofErr w:type="gramStart"/>
      <w:r w:rsidRPr="00606927">
        <w:rPr>
          <w:rFonts w:cs="Times New Roman" w:hint="eastAsia"/>
          <w:kern w:val="2"/>
          <w:sz w:val="21"/>
          <w:szCs w:val="21"/>
        </w:rPr>
        <w:t>层负责</w:t>
      </w:r>
      <w:proofErr w:type="gramEnd"/>
      <w:r w:rsidRPr="00606927">
        <w:rPr>
          <w:rFonts w:cs="Times New Roman" w:hint="eastAsia"/>
          <w:kern w:val="2"/>
          <w:sz w:val="21"/>
          <w:szCs w:val="21"/>
        </w:rPr>
        <w:t>评估贵公司的持续经营能力，披露与持续经营相关的事项（如适用），并运用持续经营假设，除非管理</w:t>
      </w:r>
      <w:proofErr w:type="gramStart"/>
      <w:r w:rsidRPr="00606927">
        <w:rPr>
          <w:rFonts w:cs="Times New Roman" w:hint="eastAsia"/>
          <w:kern w:val="2"/>
          <w:sz w:val="21"/>
          <w:szCs w:val="21"/>
        </w:rPr>
        <w:t>层计划</w:t>
      </w:r>
      <w:proofErr w:type="gramEnd"/>
      <w:r w:rsidRPr="00606927">
        <w:rPr>
          <w:rFonts w:cs="Times New Roman" w:hint="eastAsia"/>
          <w:kern w:val="2"/>
          <w:sz w:val="21"/>
          <w:szCs w:val="21"/>
        </w:rPr>
        <w:t>清算贵公司、终止运营或别无其他现实的选择。</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治理</w:t>
      </w:r>
      <w:proofErr w:type="gramStart"/>
      <w:r w:rsidRPr="00606927">
        <w:rPr>
          <w:rFonts w:cs="Times New Roman" w:hint="eastAsia"/>
          <w:kern w:val="2"/>
          <w:sz w:val="21"/>
          <w:szCs w:val="21"/>
        </w:rPr>
        <w:t>层负责</w:t>
      </w:r>
      <w:proofErr w:type="gramEnd"/>
      <w:r w:rsidRPr="00606927">
        <w:rPr>
          <w:rFonts w:cs="Times New Roman" w:hint="eastAsia"/>
          <w:kern w:val="2"/>
          <w:sz w:val="21"/>
          <w:szCs w:val="21"/>
        </w:rPr>
        <w:t>监督贵公司的财务报告过程。</w:t>
      </w:r>
    </w:p>
    <w:p w:rsidR="008D4B2E" w:rsidRDefault="008D4B2E">
      <w:pPr>
        <w:widowControl/>
        <w:numPr>
          <w:ilvl w:val="0"/>
          <w:numId w:val="6"/>
        </w:numPr>
        <w:spacing w:before="100" w:beforeAutospacing="1" w:after="100" w:afterAutospacing="1"/>
        <w:divId w:val="478041031"/>
        <w:rPr>
          <w:rFonts w:ascii="宋体" w:hAnsi="宋体" w:cs="宋体"/>
          <w:sz w:val="18"/>
          <w:szCs w:val="18"/>
        </w:rPr>
      </w:pPr>
      <w:r>
        <w:rPr>
          <w:rStyle w:val="a4"/>
          <w:rFonts w:hint="eastAsia"/>
        </w:rPr>
        <w:t>注册会计师对财务报表审计的责任</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sidRPr="00606927">
        <w:rPr>
          <w:rFonts w:cs="Times New Roman" w:hint="eastAsia"/>
          <w:kern w:val="2"/>
          <w:sz w:val="21"/>
          <w:szCs w:val="21"/>
        </w:rPr>
        <w:t>报存在</w:t>
      </w:r>
      <w:proofErr w:type="gramEnd"/>
      <w:r w:rsidRPr="00606927">
        <w:rPr>
          <w:rFonts w:cs="Times New Roman" w:hint="eastAsia"/>
          <w:kern w:val="2"/>
          <w:sz w:val="21"/>
          <w:szCs w:val="21"/>
        </w:rPr>
        <w:t>时总能发现。错报可能由舞弊或错误导致，如果合理预期错报单独或汇总起来可能影响财务报表使用者依据财务报表</w:t>
      </w:r>
      <w:proofErr w:type="gramStart"/>
      <w:r w:rsidRPr="00606927">
        <w:rPr>
          <w:rFonts w:cs="Times New Roman" w:hint="eastAsia"/>
          <w:kern w:val="2"/>
          <w:sz w:val="21"/>
          <w:szCs w:val="21"/>
        </w:rPr>
        <w:t>作出</w:t>
      </w:r>
      <w:proofErr w:type="gramEnd"/>
      <w:r w:rsidRPr="00606927">
        <w:rPr>
          <w:rFonts w:cs="Times New Roman" w:hint="eastAsia"/>
          <w:kern w:val="2"/>
          <w:sz w:val="21"/>
          <w:szCs w:val="21"/>
        </w:rPr>
        <w:t>的经济决策，则通常认为错报是重大的。</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在按照审计准则执行审计的过程中，我们运用了职业判断，保持了职业怀疑。同时，我们也执行以下工作：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lastRenderedPageBreak/>
        <w:t xml:space="preserve">（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（2）了解与审计相关的内部控制，以设计恰当的审计程序。</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（3）评价管理层选用会计政策的恰当性和</w:t>
      </w:r>
      <w:proofErr w:type="gramStart"/>
      <w:r w:rsidRPr="00606927">
        <w:rPr>
          <w:rFonts w:cs="Times New Roman" w:hint="eastAsia"/>
          <w:kern w:val="2"/>
          <w:sz w:val="21"/>
          <w:szCs w:val="21"/>
        </w:rPr>
        <w:t>作出</w:t>
      </w:r>
      <w:proofErr w:type="gramEnd"/>
      <w:r w:rsidRPr="00606927">
        <w:rPr>
          <w:rFonts w:cs="Times New Roman" w:hint="eastAsia"/>
          <w:kern w:val="2"/>
          <w:sz w:val="21"/>
          <w:szCs w:val="21"/>
        </w:rPr>
        <w:t>会计估计及相关披露的合理性。</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4）对管理层使用持续经营假设的恰当性得出结论。同时，根据获取的审计证据，就可能导致对贵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贵公司不能持续经营。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（5）评价财务报表的总</w:t>
      </w:r>
      <w:proofErr w:type="gramStart"/>
      <w:r w:rsidRPr="00606927">
        <w:rPr>
          <w:rFonts w:cs="Times New Roman" w:hint="eastAsia"/>
          <w:kern w:val="2"/>
          <w:sz w:val="21"/>
          <w:szCs w:val="21"/>
        </w:rPr>
        <w:t>体列</w:t>
      </w:r>
      <w:proofErr w:type="gramEnd"/>
      <w:r w:rsidRPr="00606927">
        <w:rPr>
          <w:rFonts w:cs="Times New Roman" w:hint="eastAsia"/>
          <w:kern w:val="2"/>
          <w:sz w:val="21"/>
          <w:szCs w:val="21"/>
        </w:rPr>
        <w:t xml:space="preserve">报、结构和内容，并评价财务报表是否公允反映相关交易和事项。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（6）就贵公司中实体或业务活动的财务信息获取充分、适当的审计证据，以对财务报表发表意见。我们负责指导、监督和执行集团审计。我们对审计意见承担全部责任。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我们与治理层就计划的审计范围、时间安排和重大审计发现等事项进行沟通，包括沟通我们在审计中识别出的值得关注的内部控制缺陷。 </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我们还就已遵守与独立性相关的职业道德要求向治理层提供声明，并与治理层沟通可能被</w:t>
      </w:r>
      <w:proofErr w:type="gramStart"/>
      <w:r w:rsidRPr="00606927">
        <w:rPr>
          <w:rFonts w:cs="Times New Roman" w:hint="eastAsia"/>
          <w:kern w:val="2"/>
          <w:sz w:val="21"/>
          <w:szCs w:val="21"/>
        </w:rPr>
        <w:t>合理认为</w:t>
      </w:r>
      <w:proofErr w:type="gramEnd"/>
      <w:r w:rsidRPr="00606927">
        <w:rPr>
          <w:rFonts w:cs="Times New Roman" w:hint="eastAsia"/>
          <w:kern w:val="2"/>
          <w:sz w:val="21"/>
          <w:szCs w:val="21"/>
        </w:rPr>
        <w:t>影响我们独立性的所有关系和其他事项，以及相关的防范措施（如适用）。</w:t>
      </w:r>
    </w:p>
    <w:p w:rsidR="008D4B2E" w:rsidRPr="00606927" w:rsidRDefault="008D4B2E">
      <w:pPr>
        <w:pStyle w:val="a3"/>
        <w:spacing w:before="0" w:beforeAutospacing="0" w:after="0" w:afterAutospacing="0" w:line="360" w:lineRule="auto"/>
        <w:ind w:firstLine="480"/>
        <w:jc w:val="both"/>
        <w:divId w:val="478041031"/>
        <w:rPr>
          <w:rFonts w:cs="Times New Roman"/>
          <w:kern w:val="2"/>
          <w:sz w:val="21"/>
          <w:szCs w:val="21"/>
        </w:rPr>
      </w:pPr>
      <w:r w:rsidRPr="00606927">
        <w:rPr>
          <w:rFonts w:cs="Times New Roman" w:hint="eastAsia"/>
          <w:kern w:val="2"/>
          <w:sz w:val="21"/>
          <w:szCs w:val="21"/>
        </w:rPr>
        <w:t xml:space="preserve">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 </w:t>
      </w:r>
    </w:p>
    <w:p w:rsidR="008D4B2E" w:rsidRDefault="008D4B2E" w:rsidP="00606927">
      <w:pPr>
        <w:pStyle w:val="a3"/>
        <w:spacing w:before="24" w:beforeAutospacing="0" w:after="24" w:afterAutospacing="0" w:line="360" w:lineRule="auto"/>
        <w:ind w:firstLine="480"/>
        <w:jc w:val="both"/>
        <w:divId w:val="478041031"/>
        <w:rPr>
          <w:rFonts w:ascii="Times New Roman" w:hAnsi="Times New Roman" w:cs="Times New Roman"/>
          <w:sz w:val="21"/>
          <w:szCs w:val="21"/>
        </w:rPr>
      </w:pPr>
      <w:r>
        <w:rPr>
          <w:rFonts w:cs="Times New Roman" w:hint="eastAsia"/>
        </w:rPr>
        <w:t>  </w:t>
      </w:r>
    </w:p>
    <w:p w:rsidR="008D4B2E" w:rsidRPr="00606927" w:rsidRDefault="008D4B2E" w:rsidP="00606927">
      <w:pPr>
        <w:pStyle w:val="a3"/>
        <w:spacing w:before="31" w:beforeAutospacing="0" w:after="31" w:afterAutospacing="0"/>
        <w:ind w:left="1320" w:hanging="1320"/>
        <w:jc w:val="both"/>
        <w:divId w:val="478041031"/>
        <w:rPr>
          <w:rFonts w:cs="Times New Roman"/>
          <w:sz w:val="21"/>
          <w:szCs w:val="21"/>
        </w:rPr>
      </w:pPr>
      <w:r w:rsidRPr="00606927">
        <w:rPr>
          <w:rFonts w:cs="Times New Roman" w:hint="eastAsia"/>
          <w:sz w:val="21"/>
          <w:szCs w:val="21"/>
        </w:rPr>
        <w:t xml:space="preserve">中兴华会计师事务所（特殊普通合伙）  </w:t>
      </w:r>
      <w:r w:rsidR="00606927">
        <w:rPr>
          <w:rFonts w:cs="Times New Roman"/>
          <w:sz w:val="21"/>
          <w:szCs w:val="21"/>
        </w:rPr>
        <w:t xml:space="preserve">        </w:t>
      </w:r>
      <w:r w:rsidRPr="00606927">
        <w:rPr>
          <w:rFonts w:cs="Times New Roman" w:hint="eastAsia"/>
          <w:sz w:val="21"/>
          <w:szCs w:val="21"/>
        </w:rPr>
        <w:t>中国注册会计师：</w:t>
      </w:r>
      <w:r w:rsidR="007E0ED4" w:rsidRPr="007E0ED4">
        <w:rPr>
          <w:rFonts w:cs="Times New Roman" w:hint="eastAsia"/>
          <w:sz w:val="21"/>
          <w:szCs w:val="21"/>
        </w:rPr>
        <w:t>丁兆栋</w:t>
      </w:r>
    </w:p>
    <w:p w:rsidR="008D4B2E" w:rsidRPr="00606927" w:rsidRDefault="008D4B2E" w:rsidP="00606927">
      <w:pPr>
        <w:pStyle w:val="a3"/>
        <w:spacing w:before="31" w:beforeAutospacing="0" w:after="31" w:afterAutospacing="0"/>
        <w:ind w:leftChars="100" w:left="210" w:firstLineChars="2900" w:firstLine="6090"/>
        <w:jc w:val="both"/>
        <w:divId w:val="478041031"/>
        <w:rPr>
          <w:rFonts w:cs="Times New Roman"/>
          <w:sz w:val="21"/>
          <w:szCs w:val="21"/>
        </w:rPr>
      </w:pPr>
      <w:r w:rsidRPr="00606927">
        <w:rPr>
          <w:rFonts w:cs="Times New Roman" w:hint="eastAsia"/>
          <w:sz w:val="21"/>
          <w:szCs w:val="21"/>
        </w:rPr>
        <w:t xml:space="preserve">（项目合伙人）         </w:t>
      </w:r>
    </w:p>
    <w:p w:rsidR="00606927" w:rsidRDefault="00606927" w:rsidP="00606927">
      <w:pPr>
        <w:pStyle w:val="a3"/>
        <w:spacing w:before="31" w:beforeAutospacing="0" w:after="31" w:afterAutospacing="0"/>
        <w:ind w:left="1320" w:hanging="1320"/>
        <w:jc w:val="both"/>
        <w:divId w:val="478041031"/>
        <w:rPr>
          <w:rFonts w:cs="Times New Roman"/>
          <w:sz w:val="21"/>
          <w:szCs w:val="21"/>
        </w:rPr>
      </w:pPr>
    </w:p>
    <w:p w:rsidR="00606927" w:rsidRDefault="00606927" w:rsidP="00606927">
      <w:pPr>
        <w:pStyle w:val="a3"/>
        <w:spacing w:before="31" w:beforeAutospacing="0" w:after="31" w:afterAutospacing="0"/>
        <w:ind w:left="1320" w:hanging="1320"/>
        <w:jc w:val="both"/>
        <w:divId w:val="478041031"/>
        <w:rPr>
          <w:rFonts w:cs="Times New Roman"/>
          <w:sz w:val="21"/>
          <w:szCs w:val="21"/>
        </w:rPr>
      </w:pPr>
    </w:p>
    <w:p w:rsidR="008D4B2E" w:rsidRPr="00606927" w:rsidRDefault="008D4B2E" w:rsidP="00606927">
      <w:pPr>
        <w:pStyle w:val="a3"/>
        <w:spacing w:before="31" w:beforeAutospacing="0" w:after="31" w:afterAutospacing="0"/>
        <w:ind w:left="1320" w:hanging="1320"/>
        <w:jc w:val="both"/>
        <w:divId w:val="478041031"/>
        <w:rPr>
          <w:rFonts w:cs="Times New Roman"/>
          <w:sz w:val="21"/>
          <w:szCs w:val="21"/>
        </w:rPr>
      </w:pPr>
      <w:r w:rsidRPr="00606927">
        <w:rPr>
          <w:rFonts w:cs="Times New Roman" w:hint="eastAsia"/>
          <w:sz w:val="21"/>
          <w:szCs w:val="21"/>
        </w:rPr>
        <w:t xml:space="preserve">中国·北京               </w:t>
      </w:r>
      <w:r w:rsidR="00606927">
        <w:rPr>
          <w:rFonts w:cs="Times New Roman"/>
          <w:sz w:val="21"/>
          <w:szCs w:val="21"/>
        </w:rPr>
        <w:t xml:space="preserve">      </w:t>
      </w:r>
      <w:r w:rsidRPr="00606927">
        <w:rPr>
          <w:rFonts w:cs="Times New Roman" w:hint="eastAsia"/>
          <w:sz w:val="21"/>
          <w:szCs w:val="21"/>
        </w:rPr>
        <w:t xml:space="preserve">中国注册会计师： </w:t>
      </w:r>
      <w:r w:rsidR="007E0ED4" w:rsidRPr="007E0ED4">
        <w:rPr>
          <w:rFonts w:cs="Times New Roman" w:hint="eastAsia"/>
          <w:sz w:val="21"/>
          <w:szCs w:val="21"/>
        </w:rPr>
        <w:t>高宁</w:t>
      </w:r>
    </w:p>
    <w:p w:rsidR="008D4B2E" w:rsidRPr="00606927" w:rsidRDefault="008D4B2E" w:rsidP="00606927">
      <w:pPr>
        <w:pStyle w:val="a3"/>
        <w:spacing w:before="31" w:beforeAutospacing="0" w:after="31" w:afterAutospacing="0"/>
        <w:ind w:left="1320" w:hanging="1320"/>
        <w:jc w:val="both"/>
        <w:divId w:val="478041031"/>
        <w:rPr>
          <w:rFonts w:cs="Times New Roman"/>
          <w:sz w:val="21"/>
          <w:szCs w:val="21"/>
        </w:rPr>
      </w:pPr>
      <w:r w:rsidRPr="00606927">
        <w:rPr>
          <w:rFonts w:cs="Times New Roman" w:hint="eastAsia"/>
          <w:sz w:val="21"/>
          <w:szCs w:val="21"/>
        </w:rPr>
        <w:t>   </w:t>
      </w:r>
      <w:r w:rsidR="00606927">
        <w:rPr>
          <w:rFonts w:cs="Times New Roman" w:hint="eastAsia"/>
          <w:sz w:val="21"/>
          <w:szCs w:val="21"/>
        </w:rPr>
        <w:t>                    </w:t>
      </w:r>
      <w:r w:rsidRPr="00606927">
        <w:rPr>
          <w:rFonts w:cs="Times New Roman" w:hint="eastAsia"/>
          <w:sz w:val="21"/>
          <w:szCs w:val="21"/>
        </w:rPr>
        <w:t xml:space="preserve">2024年4月1日  </w:t>
      </w:r>
    </w:p>
    <w:p w:rsidR="00BA0365" w:rsidRDefault="008D4B2E">
      <w:pPr>
        <w:pStyle w:val="2"/>
        <w:spacing w:before="300" w:after="300" w:line="320" w:lineRule="exact"/>
        <w:rPr>
          <w:rFonts w:ascii="宋体" w:eastAsia="宋体" w:hAnsi="宋体" w:cs="宋体"/>
          <w:b/>
          <w:bCs/>
          <w:sz w:val="24"/>
          <w:szCs w:val="24"/>
        </w:rPr>
      </w:pPr>
      <w:bookmarkStart w:id="151" w:name="_Toc989040"/>
      <w:r>
        <w:rPr>
          <w:rFonts w:ascii="宋体" w:eastAsia="宋体" w:hAnsi="宋体" w:cs="宋体"/>
          <w:b/>
          <w:bCs/>
          <w:sz w:val="24"/>
          <w:szCs w:val="24"/>
        </w:rPr>
        <w:lastRenderedPageBreak/>
        <w:t>二、财务报表</w:t>
      </w:r>
      <w:bookmarkEnd w:id="151"/>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财务附注中报表的单位为：元</w:t>
      </w:r>
    </w:p>
    <w:p w:rsidR="00BA0365" w:rsidRDefault="008D4B2E">
      <w:pPr>
        <w:pStyle w:val="3"/>
        <w:spacing w:line="280" w:lineRule="exact"/>
        <w:jc w:val="left"/>
        <w:rPr>
          <w:rFonts w:ascii="宋体" w:hAnsi="宋体" w:cs="宋体"/>
          <w:b/>
          <w:bCs/>
        </w:rPr>
      </w:pPr>
      <w:bookmarkStart w:id="152" w:name="_Toc989041"/>
      <w:r>
        <w:rPr>
          <w:rFonts w:ascii="宋体" w:hAnsi="宋体" w:cs="宋体"/>
          <w:b/>
          <w:bCs/>
        </w:rPr>
        <w:t>1、合并资产负债表</w:t>
      </w:r>
      <w:bookmarkEnd w:id="152"/>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编制单位：</w:t>
      </w:r>
      <w:proofErr w:type="gramStart"/>
      <w:r>
        <w:rPr>
          <w:rFonts w:ascii="宋体" w:eastAsia="宋体" w:hAnsi="宋体" w:cs="宋体"/>
          <w:sz w:val="18"/>
          <w:szCs w:val="18"/>
        </w:rPr>
        <w:t>软控股份有限公司</w:t>
      </w:r>
      <w:proofErr w:type="gramEnd"/>
    </w:p>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2023年12月31日</w:t>
      </w:r>
    </w:p>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2023年12月31日</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2023年1月1日</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2,955,647,872.55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2,749,149,407.21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结算备付金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拆出资金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105,052,985.91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857,690,796.59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254,569,594.05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1,165,564,469.53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994,740,356.96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529,018,313.90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176,284,198.51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267,460,070.81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应收保费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应收分保合同准备金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45,788,981.72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98,744,337.28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买入返售金融资产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5,673,274,874.12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4,661,226,499.67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167,441,875.11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363,643,872.52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11,868,464,813.04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10,023,605,438.31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发放贷款和垫款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126,164,853.56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482,323,893.45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511,329,513.93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76,210,169.42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2,221,675,441.56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2,205,451,294.22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46,236,259.58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59,690,206.29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402,822,325.50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372,515,494.45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2,610,077.17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2,587,389.10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193,281,143.01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169,620,691.96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4,093,414,317.48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3,701,539,788.23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15,961,879,130.52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13,725,145,226.54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688,978,350.00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429,608,369.35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拆入资金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1,242,093,084.11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1,325,127,570.22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2,051,788,569.31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1,838,815,267.43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4,168,545,556.67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3,158,646,686.84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卖出回购金融资产款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吸收存款及同业存放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代理承销证券款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167,317,294.06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133,457,668.10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34,329,736.60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36,052,929.96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283,134,120.55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176,784,270.20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635,444.00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应付手续费及佣金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应付分保账款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113,079,254.13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48,289,590.56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565,062,731.97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365,057,638.20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9,314,328,697.40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7,511,839,990.86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保险合同准备金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943,004,370.30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963,612,166.00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29,234,874.64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39,775,251.13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20,227,132.94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66,073,107.96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64,265,531.12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42,711,121.78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31,855,328.51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1,104,035,808.88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1,119,735,409.70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10,418,364,506.28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8,631,575,400.56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2,270,909,631.57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2,023,632,169.44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32,491,276.60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53,473,129.86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一般风险准备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归属于母公司所有者权益合计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4,811,090,771.69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少数股东权益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255,554,250.02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282,479,054.29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5,543,514,624.24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15,961,879,130.52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13,725,145,226.54</w:t>
            </w:r>
          </w:p>
        </w:tc>
      </w:tr>
    </w:tbl>
    <w:p w:rsidR="00BA0365" w:rsidRDefault="008D4B2E">
      <w:pPr>
        <w:spacing w:line="240" w:lineRule="exact"/>
        <w:rPr>
          <w:rFonts w:ascii="宋体" w:eastAsia="宋体" w:hAnsi="宋体" w:cs="宋体"/>
          <w:sz w:val="18"/>
          <w:szCs w:val="18"/>
        </w:rPr>
      </w:pPr>
      <w:r>
        <w:rPr>
          <w:rFonts w:ascii="宋体" w:eastAsia="宋体" w:hAnsi="宋体" w:cs="宋体"/>
          <w:sz w:val="18"/>
          <w:szCs w:val="18"/>
        </w:rPr>
        <w:t>法定代表人：官</w:t>
      </w:r>
      <w:proofErr w:type="gramStart"/>
      <w:r>
        <w:rPr>
          <w:rFonts w:ascii="宋体" w:eastAsia="宋体" w:hAnsi="宋体" w:cs="宋体"/>
          <w:sz w:val="18"/>
          <w:szCs w:val="18"/>
        </w:rPr>
        <w:t>炳</w:t>
      </w:r>
      <w:proofErr w:type="gramEnd"/>
      <w:r>
        <w:rPr>
          <w:rFonts w:ascii="宋体" w:eastAsia="宋体" w:hAnsi="宋体" w:cs="宋体"/>
          <w:sz w:val="18"/>
          <w:szCs w:val="18"/>
        </w:rPr>
        <w:t xml:space="preserve">政    </w:t>
      </w:r>
      <w:r w:rsidR="00606927">
        <w:rPr>
          <w:rFonts w:ascii="宋体" w:eastAsia="宋体" w:hAnsi="宋体" w:cs="宋体"/>
          <w:sz w:val="18"/>
          <w:szCs w:val="18"/>
        </w:rPr>
        <w:t xml:space="preserve">                 </w:t>
      </w:r>
      <w:r>
        <w:rPr>
          <w:rFonts w:ascii="宋体" w:eastAsia="宋体" w:hAnsi="宋体" w:cs="宋体"/>
          <w:sz w:val="18"/>
          <w:szCs w:val="18"/>
        </w:rPr>
        <w:t xml:space="preserve">主管会计工作负责人：张垚      </w:t>
      </w:r>
      <w:r w:rsidR="00606927">
        <w:rPr>
          <w:rFonts w:ascii="宋体" w:eastAsia="宋体" w:hAnsi="宋体" w:cs="宋体"/>
          <w:sz w:val="18"/>
          <w:szCs w:val="18"/>
        </w:rPr>
        <w:t xml:space="preserve">              </w:t>
      </w:r>
      <w:r>
        <w:rPr>
          <w:rFonts w:ascii="宋体" w:eastAsia="宋体" w:hAnsi="宋体" w:cs="宋体"/>
          <w:sz w:val="18"/>
          <w:szCs w:val="18"/>
        </w:rPr>
        <w:t>会计机构负责人：廖永健</w:t>
      </w:r>
    </w:p>
    <w:p w:rsidR="00BA0365" w:rsidRDefault="008D4B2E">
      <w:pPr>
        <w:pStyle w:val="3"/>
        <w:spacing w:line="280" w:lineRule="exact"/>
        <w:jc w:val="left"/>
        <w:rPr>
          <w:rFonts w:ascii="宋体" w:hAnsi="宋体" w:cs="宋体"/>
          <w:b/>
          <w:bCs/>
        </w:rPr>
      </w:pPr>
      <w:bookmarkStart w:id="153" w:name="_Toc989042"/>
      <w:r>
        <w:rPr>
          <w:rFonts w:ascii="宋体" w:hAnsi="宋体" w:cs="宋体"/>
          <w:b/>
          <w:bCs/>
        </w:rPr>
        <w:t>2、母公司资产负债表</w:t>
      </w:r>
      <w:bookmarkEnd w:id="153"/>
    </w:p>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2023年12月31日</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2023年1月1日</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628,286,154.81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116,286,994.70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152,000,000.00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11,820,659.80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216,186,726.31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803,527,004.95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836,701,349.07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应收款项融资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67,540,969.34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预付款项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10,137,413.05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10,996,407.60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395,141,504.10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542,860,986.39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27,977,968.88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14,351,481.10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6,667,880.20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7,983,843.04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2,251,099,555.13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1,897,447,788.21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非流动资产：</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78,162,360.00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47,359,280.00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其他债权投资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长期股权投资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4,845,782,827.66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4,465,057,144.23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其他权益工具投资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399,716,000.00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399,716,000.00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其他非流动金融资产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投资性房地产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25,803,677.87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30,176,136.51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1,639,939.83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生产性生物资产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油气资产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使用权资产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30,909,323.20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38,730,869.47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无形资产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7,512,482.25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6,471,146.69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开发支出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商誉</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长期待摊费用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60,744,584.90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58,651,341.24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非流动资产合计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5,448,631,255.88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5,047,801,857.97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资产总计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7,699,730,811.01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6,945,249,646.18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短期借款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交易性金融负债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衍生金融负债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应付账款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141,980,040.31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127,795,689.73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预收款项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合同负债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30,401,356.07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19,349,061.61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27,519,265.53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28,446,187.77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应交税费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4,986,170.04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10,538,710.42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1,420,080,101.34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534,944,896.48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其中：应付利息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635,444.00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持有待售负债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109,541,991.66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45,461,856.41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7,424,688.93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216,488,595.53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1,741,933,613.88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1,078,024,997.95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109,188,235.29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214,000,000.00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应付债券</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16,862,207.65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28,276,470.41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长期应付职工薪酬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预计负债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8,612,357.38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8,612,357.38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12,006,748.50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9,783,948.50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递延所得税负债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8,479,413.48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3,843,015.00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其他非流动负债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155,148,962.30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264,515,791.29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1,897,082,576.18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1,342,540,789.24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所有者权益：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股本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其他权益工具</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其中：优先股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500" w:firstLine="900"/>
              <w:rPr>
                <w:rFonts w:ascii="宋体" w:eastAsia="宋体" w:hAnsi="宋体" w:cs="宋体"/>
                <w:sz w:val="18"/>
                <w:szCs w:val="18"/>
              </w:rPr>
            </w:pPr>
            <w:r>
              <w:rPr>
                <w:rFonts w:ascii="宋体" w:eastAsia="宋体" w:hAnsi="宋体" w:cs="宋体"/>
                <w:sz w:val="18"/>
                <w:szCs w:val="18"/>
              </w:rPr>
              <w:t>永续债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资本公积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2,412,492,304.37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2,164,171,152.75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减：库存股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专项储备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2,245,983,571.39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2,233,587,256.65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所有者权益合计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5,802,648,234.83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负债和所有者权益总计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7,699,730,811.01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6,945,249,646.18</w:t>
            </w:r>
          </w:p>
        </w:tc>
      </w:tr>
    </w:tbl>
    <w:p w:rsidR="00BA0365" w:rsidRDefault="008D4B2E">
      <w:pPr>
        <w:pStyle w:val="3"/>
        <w:spacing w:line="280" w:lineRule="exact"/>
        <w:jc w:val="left"/>
        <w:rPr>
          <w:rFonts w:ascii="宋体" w:hAnsi="宋体" w:cs="宋体"/>
          <w:b/>
          <w:bCs/>
        </w:rPr>
      </w:pPr>
      <w:bookmarkStart w:id="154" w:name="_Toc989043"/>
      <w:r>
        <w:rPr>
          <w:rFonts w:ascii="宋体" w:hAnsi="宋体" w:cs="宋体"/>
          <w:b/>
          <w:bCs/>
        </w:rPr>
        <w:t>3、合并利润表</w:t>
      </w:r>
      <w:bookmarkEnd w:id="15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一、营业总收入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已赚保费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二、营业总成本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5,253,780,456.18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5,479,699,564.82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其中：营业成本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4,579,657,020.79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手续费及佣金支出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退保金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赔付支出净额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提取保险责任合同准备金净额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保单红利支出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分保费用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35,823,836.94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33,470,539.69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156,988,361.62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137,838,332.81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管理费用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458,119,027.04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407,317,166.19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65,061,912.58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18,476,849.15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73,661,316.99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31,754,885.80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30,950,637.44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22,073,240.31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37,369,532.27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32,769,573.55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81,225,239.72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51,175,037.55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3,599,970.02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3,003,057.72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800" w:firstLine="1440"/>
              <w:rPr>
                <w:rFonts w:ascii="宋体" w:eastAsia="宋体" w:hAnsi="宋体" w:cs="宋体"/>
                <w:sz w:val="18"/>
                <w:szCs w:val="18"/>
              </w:rPr>
            </w:pPr>
            <w:r>
              <w:rPr>
                <w:rFonts w:ascii="宋体" w:eastAsia="宋体" w:hAnsi="宋体" w:cs="宋体"/>
                <w:sz w:val="18"/>
                <w:szCs w:val="18"/>
              </w:rPr>
              <w:t>以摊</w:t>
            </w:r>
            <w:proofErr w:type="gramStart"/>
            <w:r>
              <w:rPr>
                <w:rFonts w:ascii="宋体" w:eastAsia="宋体" w:hAnsi="宋体" w:cs="宋体"/>
                <w:sz w:val="18"/>
                <w:szCs w:val="18"/>
              </w:rPr>
              <w:t>余成本</w:t>
            </w:r>
            <w:proofErr w:type="gramEnd"/>
            <w:r>
              <w:rPr>
                <w:rFonts w:ascii="宋体" w:eastAsia="宋体" w:hAnsi="宋体" w:cs="宋体"/>
                <w:sz w:val="18"/>
                <w:szCs w:val="18"/>
              </w:rPr>
              <w:t>计量的金融资产终止确认收益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汇兑收益（损失以“-”号填列）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19,146,358.66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-43,798,766.98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-100,107,800.90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-72,858,577.65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-2,345,212.50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-1,060,981.28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429,102,827.06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222,441,677.95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2,690,759.36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2,844,327.32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20,498,497.96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4,695,744.50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411,295,088.46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220,590,260.77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15,922,343.61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-11,872,322.59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五、净利润（净亏损以“－”号填列）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395,372,744.85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232,462,583.36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（一）按经营持续性分类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1.持续经营净利润（净亏损以“－”号填列）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395,372,744.85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232,462,583.36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2.终止经营净利润（净亏损以“－”号填列）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（二）按所有权归属分类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1.归属于母公司股东的净利润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333,149,674.13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202,651,631.16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2.少数股东损益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62,223,070.72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29,810,952.20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六、其他综合收益的税后净额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-21,047,646.01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54,279,668.25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归属母公司所有者的其他综合收益的税后净额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-20,981,853.26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54,279,668.25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-20,010,468.85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56,651,968.91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-20,010,468.85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56,651,968.91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-971,384.41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-2,372,300.66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-971,384.41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-2,372,300.66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-65,792.75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七、综合收益总额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374,325,098.84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286,742,251.61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归属于母公司所有者的综合收益总额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312,167,820.87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256,931,299.41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归属于少数股东的综合收益总额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62,157,277.97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29,810,952.20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八、每股收益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0.3486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0.2147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0.3552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0.217</w:t>
            </w:r>
          </w:p>
        </w:tc>
      </w:tr>
    </w:tbl>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法定代表人：官</w:t>
      </w:r>
      <w:proofErr w:type="gramStart"/>
      <w:r>
        <w:rPr>
          <w:rFonts w:ascii="宋体" w:eastAsia="宋体" w:hAnsi="宋体" w:cs="宋体"/>
          <w:sz w:val="18"/>
          <w:szCs w:val="18"/>
        </w:rPr>
        <w:t>炳</w:t>
      </w:r>
      <w:proofErr w:type="gramEnd"/>
      <w:r>
        <w:rPr>
          <w:rFonts w:ascii="宋体" w:eastAsia="宋体" w:hAnsi="宋体" w:cs="宋体"/>
          <w:sz w:val="18"/>
          <w:szCs w:val="18"/>
        </w:rPr>
        <w:t xml:space="preserve">政    </w:t>
      </w:r>
      <w:r w:rsidR="007E0ED4">
        <w:rPr>
          <w:rFonts w:ascii="宋体" w:eastAsia="宋体" w:hAnsi="宋体" w:cs="宋体"/>
          <w:sz w:val="18"/>
          <w:szCs w:val="18"/>
        </w:rPr>
        <w:t xml:space="preserve">                 </w:t>
      </w:r>
      <w:r>
        <w:rPr>
          <w:rFonts w:ascii="宋体" w:eastAsia="宋体" w:hAnsi="宋体" w:cs="宋体"/>
          <w:sz w:val="18"/>
          <w:szCs w:val="18"/>
        </w:rPr>
        <w:t xml:space="preserve">主管会计工作负责人：张垚 </w:t>
      </w:r>
      <w:r w:rsidR="007E0ED4">
        <w:rPr>
          <w:rFonts w:ascii="宋体" w:eastAsia="宋体" w:hAnsi="宋体" w:cs="宋体"/>
          <w:sz w:val="18"/>
          <w:szCs w:val="18"/>
        </w:rPr>
        <w:t xml:space="preserve">                </w:t>
      </w:r>
      <w:r>
        <w:rPr>
          <w:rFonts w:ascii="宋体" w:eastAsia="宋体" w:hAnsi="宋体" w:cs="宋体"/>
          <w:sz w:val="18"/>
          <w:szCs w:val="18"/>
        </w:rPr>
        <w:t xml:space="preserve">   会计机构负责人：廖永健</w:t>
      </w:r>
    </w:p>
    <w:p w:rsidR="00BA0365" w:rsidRDefault="008D4B2E">
      <w:pPr>
        <w:pStyle w:val="3"/>
        <w:spacing w:line="280" w:lineRule="exact"/>
        <w:jc w:val="left"/>
        <w:rPr>
          <w:rFonts w:ascii="宋体" w:hAnsi="宋体" w:cs="宋体"/>
          <w:b/>
          <w:bCs/>
        </w:rPr>
      </w:pPr>
      <w:bookmarkStart w:id="155" w:name="_Toc989044"/>
      <w:r>
        <w:rPr>
          <w:rFonts w:ascii="宋体" w:hAnsi="宋体" w:cs="宋体"/>
          <w:b/>
          <w:bCs/>
        </w:rPr>
        <w:t>4、母公司利润表</w:t>
      </w:r>
      <w:bookmarkEnd w:id="15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一、营业收入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228,639,882.62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255,171,716.30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减：营业成本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18,433,016.40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62,236,235.09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税金及附加</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3,258,589.24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3,366,714.31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销售费用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20,527,019.81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22,457,786.40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管理费用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96,496,881.39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118,730,923.24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研发费用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76,970,505.28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75,775,480.43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财务费用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11,587,692.42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14,531,965.01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其中：利息费用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14,898,144.72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23,696,910.23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700" w:firstLine="1260"/>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2,551,927.00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3,904,754.71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20,657,464.96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18,378,346.35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38,232,160.93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22,446,674.71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其中：对联营企业和合营企业的投资收益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978,709.95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1,036,754.42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700" w:firstLine="1260"/>
              <w:rPr>
                <w:rFonts w:ascii="宋体" w:eastAsia="宋体" w:hAnsi="宋体" w:cs="宋体"/>
                <w:sz w:val="18"/>
                <w:szCs w:val="18"/>
              </w:rPr>
            </w:pPr>
            <w:r>
              <w:rPr>
                <w:rFonts w:ascii="宋体" w:eastAsia="宋体" w:hAnsi="宋体" w:cs="宋体"/>
                <w:sz w:val="18"/>
                <w:szCs w:val="18"/>
              </w:rPr>
              <w:t>以摊</w:t>
            </w:r>
            <w:proofErr w:type="gramStart"/>
            <w:r>
              <w:rPr>
                <w:rFonts w:ascii="宋体" w:eastAsia="宋体" w:hAnsi="宋体" w:cs="宋体"/>
                <w:sz w:val="18"/>
                <w:szCs w:val="18"/>
              </w:rPr>
              <w:t>余成本</w:t>
            </w:r>
            <w:proofErr w:type="gramEnd"/>
            <w:r>
              <w:rPr>
                <w:rFonts w:ascii="宋体" w:eastAsia="宋体" w:hAnsi="宋体" w:cs="宋体"/>
                <w:sz w:val="18"/>
                <w:szCs w:val="18"/>
              </w:rPr>
              <w:t>计量的金融资产终止确认收益（损失以“-”号填列）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净敞口套期收益（损失以“－”号填列）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公允价值变动收益（损失以</w:t>
            </w:r>
            <w:r>
              <w:rPr>
                <w:rFonts w:ascii="宋体" w:eastAsia="宋体" w:hAnsi="宋体" w:cs="宋体"/>
                <w:sz w:val="18"/>
                <w:szCs w:val="18"/>
              </w:rPr>
              <w:lastRenderedPageBreak/>
              <w:t>“－”号填列）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信用减值损失（损失以“-”号填列）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6,680,400.12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15,065,460.62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资产减值损失（损失以“-”号填列）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-454,914.21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-193,455.34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资产处置收益（损失以“-”号填列）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-1,294,736.22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二、营业利润（亏损以“－”号填列）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65,186,553.66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13,769,638.16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加：营业外收入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40,378.60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21,171.61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减：营业外支出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653,610.69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81,251.08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三、利润总额（亏损总额以“－”号填列）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64,573,321.57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13,709,558.69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1,329,466.30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-9,354,888.16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（一）持续经营净利润（净亏损以“－”号填列）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（二）终止经营净利润（净亏损以“－”号填列）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五、其他综合收益的税后净额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-5,221,541.69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（一）不能重分类进损益的其他综合收益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-5,221,541.69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1.重新计量设定受益计划变动额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2.权益法下不能转损益的其他综合收益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3.其他权益工具投资公允价值变动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-5,221,541.69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4.企业自身信用风险公允价值变动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5.其他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200" w:firstLine="360"/>
              <w:rPr>
                <w:rFonts w:ascii="宋体" w:eastAsia="宋体" w:hAnsi="宋体" w:cs="宋体"/>
                <w:sz w:val="18"/>
                <w:szCs w:val="18"/>
              </w:rPr>
            </w:pPr>
            <w:r>
              <w:rPr>
                <w:rFonts w:ascii="宋体" w:eastAsia="宋体" w:hAnsi="宋体" w:cs="宋体"/>
                <w:sz w:val="18"/>
                <w:szCs w:val="18"/>
              </w:rPr>
              <w:t>（二）将重分类进损益的其他综合收益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1.权益法下可转损益的其他综合收益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2.其他债权投资公允价值变动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3.金融资产重分类计入其他综合收益的金额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4.其他债权投资信用减值准备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5.现金流量套期储备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6.外币财务报表折算差额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300" w:firstLine="540"/>
              <w:rPr>
                <w:rFonts w:ascii="宋体" w:eastAsia="宋体" w:hAnsi="宋体" w:cs="宋体"/>
                <w:sz w:val="18"/>
                <w:szCs w:val="18"/>
              </w:rPr>
            </w:pPr>
            <w:r>
              <w:rPr>
                <w:rFonts w:ascii="宋体" w:eastAsia="宋体" w:hAnsi="宋体" w:cs="宋体"/>
                <w:sz w:val="18"/>
                <w:szCs w:val="18"/>
              </w:rPr>
              <w:t>7.其他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六、综合收益总额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17,842,905.16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七、每股收益</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（一）基本每股收益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0.069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0.0244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（二）稀释每股收益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0.0684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0.0247</w:t>
            </w:r>
          </w:p>
        </w:tc>
      </w:tr>
    </w:tbl>
    <w:p w:rsidR="00BA0365" w:rsidRDefault="008D4B2E">
      <w:pPr>
        <w:pStyle w:val="3"/>
        <w:spacing w:line="280" w:lineRule="exact"/>
        <w:jc w:val="left"/>
        <w:rPr>
          <w:rFonts w:ascii="宋体" w:hAnsi="宋体" w:cs="宋体"/>
          <w:b/>
          <w:bCs/>
        </w:rPr>
      </w:pPr>
      <w:bookmarkStart w:id="156" w:name="_Toc989045"/>
      <w:r>
        <w:rPr>
          <w:rFonts w:ascii="宋体" w:hAnsi="宋体" w:cs="宋体"/>
          <w:b/>
          <w:bCs/>
        </w:rPr>
        <w:t>5、合并现金流量表</w:t>
      </w:r>
      <w:bookmarkEnd w:id="15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2023年度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6,560,088,037.13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6,925,222,150.90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客户存款和同业存放款项净增加额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向中央银行借款净增加额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向其他金融机构拆入资金净增加额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收到原保险合同保费取得的现金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收到再保业务现金净额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保户储金及投资款净增加额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收取利息、手续费及佣金的现金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拆入资金净增加额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回购业务资金净增加额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代理买卖证券收到的现金净额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88,989,186.31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175,353,424.31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1,194,625,643.93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799,879,487.06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7,843,702,867.37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7,900,455,062.27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5,117,005,144.36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5,547,071,867.76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客户贷款及垫款净增加额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存放中央银行和同业款项净增加额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支付原保险合同赔付款项的现金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拆出资金净增加额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支付利息、手续费及佣金的现金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支付保单红利的现金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710,681,979.83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561,146,297.88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153,628,886.31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131,278,448.09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1,630,982,109.30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1,278,223,795.63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7,612,298,119.80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7,517,720,409.36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231,404,747.57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382,734,652.91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2,962,209,777.06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3,383,581,410.00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70,861,653.68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43,663,951.57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918,666.00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838,076.00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55,487,765.48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29,999,354.71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3,089,477,862.22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3,458,082,792.28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526,042,471.11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453,893,380.08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3,389,090,000.00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3,756,348,080.00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质押贷款净增加额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3,915,132,471.11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4,210,241,460.08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-825,654,608.89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-752,158,667.80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185,536,403.47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62,451,200.00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其中：子公司吸收少数股东投资收到的现金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1,384,624,761.81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1,443,934,646.05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1,570,161,165.28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1,506,385,846.05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921,462,502.36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699,211,702.25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106,575,452.90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59,329,302.95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其中：子公司支付给少数股东的股利、利润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1,028,037,955.26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758,541,005.20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542,123,210.02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747,844,840.85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-5,048,577.27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18,572,901.32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-57,175,228.57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396,993,727.28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1,314,478,036.85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bl>
    <w:p w:rsidR="00BA0365" w:rsidRDefault="008D4B2E">
      <w:pPr>
        <w:pStyle w:val="3"/>
        <w:spacing w:line="280" w:lineRule="exact"/>
        <w:jc w:val="left"/>
        <w:rPr>
          <w:rFonts w:ascii="宋体" w:hAnsi="宋体" w:cs="宋体"/>
          <w:b/>
          <w:bCs/>
        </w:rPr>
      </w:pPr>
      <w:bookmarkStart w:id="157" w:name="_Toc989046"/>
      <w:r>
        <w:rPr>
          <w:rFonts w:ascii="宋体" w:hAnsi="宋体" w:cs="宋体"/>
          <w:b/>
          <w:bCs/>
        </w:rPr>
        <w:t>6、母公司现金流量表</w:t>
      </w:r>
      <w:bookmarkEnd w:id="157"/>
    </w:p>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2023年度</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一、经营活动产生的现金流量：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销售商品、提供劳务收到的现金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311,492,551.14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333,929,362.25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收到的税费返还</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16,903,333.61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23,366,391.23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36,726,822.95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77,421,357.36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365,122,707.70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434,717,110.84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购买商品、接受劳务支付的现金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30,913,804.43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208,565,594.60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支付给职工以及为职工支付的现金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115,192,727.26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93,449,400.68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支付的各项税费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24,807,803.86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29,200,811.21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支付其他与经营活动有关的现金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37,218,425.57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50,813,237.91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208,132,761.12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382,029,044.40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156,989,946.58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52,688,066.44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二、投资活动产生的现金流量：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收回投资收到的现金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448,287,892.35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499,383,330.00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取得投资收益收到的现金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19,799,336.30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12,548,465.68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处置固定资产、无形资产和其他长期资产收回的现金净额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处置子公司及其他营业单位收到的现金净额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61,000,000.00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3,023,816,230.83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1,974,848,656.40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3,552,903,459.48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2,566,780,452.08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购建固定资产、无形资产和其他长期资产支付的现金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1,636,120.00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6,844,400.00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投资支付的现金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987,090,000.00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1,219,848,224.60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取得子公司及其他营业单位支付的现金净额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11,320,000.00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支付其他与投资活动有关的现金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2,360,500,490.68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2,082,100,033.42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3,349,226,610.68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3,320,112,658.02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203,676,848.80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-753,332,205.94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三、筹资活动产生的现金流量：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吸收投资收到的现金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181,129,489.52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取得借款收到的现金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359,496,104.44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700,897,314.71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收到其他与筹资活动有关的现金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筹资活动现金流入小计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540,625,593.96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762,348,514.71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偿还债务支付的现金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346,811,764.71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389,500,000.00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分配股利、利润或偿付利息支付的现金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56,437,227.53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17,308,502.76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支付其他与筹资活动有关的现金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筹资活动现金流出小计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403,248,992.24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406,808,502.76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筹资活动产生的现金流量净额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137,376,601.72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355,540,011.95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四、汇率变动对现金及现金等价物的影响</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-13,643.46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50,599.01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五、现金及现金等价物净增加额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498,029,753.64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-345,053,528.54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ind w:firstLineChars="100" w:firstLine="180"/>
              <w:rPr>
                <w:rFonts w:ascii="宋体" w:eastAsia="宋体" w:hAnsi="宋体" w:cs="宋体"/>
                <w:sz w:val="18"/>
                <w:szCs w:val="18"/>
              </w:rPr>
            </w:pPr>
            <w:r>
              <w:rPr>
                <w:rFonts w:ascii="宋体" w:eastAsia="宋体" w:hAnsi="宋体" w:cs="宋体"/>
                <w:sz w:val="18"/>
                <w:szCs w:val="18"/>
              </w:rPr>
              <w:t>加：期初现金及现金等价物余额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107,587,252.58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452,640,781.12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六、期末现金及现金等价物余额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605,617,006.22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107,587,252.58</w:t>
            </w:r>
          </w:p>
        </w:tc>
      </w:tr>
    </w:tbl>
    <w:p w:rsidR="00BA0365" w:rsidRDefault="008D4B2E">
      <w:pPr>
        <w:pStyle w:val="3"/>
        <w:spacing w:line="280" w:lineRule="exact"/>
        <w:jc w:val="left"/>
        <w:rPr>
          <w:rFonts w:ascii="宋体" w:hAnsi="宋体" w:cs="宋体"/>
          <w:b/>
          <w:bCs/>
        </w:rPr>
      </w:pPr>
      <w:bookmarkStart w:id="158" w:name="_Toc989047"/>
      <w:r>
        <w:rPr>
          <w:rFonts w:ascii="宋体" w:hAnsi="宋体" w:cs="宋体"/>
          <w:b/>
          <w:bCs/>
        </w:rPr>
        <w:t>7、合并所有者权益变动表</w:t>
      </w:r>
      <w:bookmarkEnd w:id="158"/>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本期金额</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157EA0">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2023年度</w:t>
            </w:r>
          </w:p>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0" w:lineRule="atLeast"/>
              <w:jc w:val="center"/>
              <w:rPr>
                <w:rFonts w:ascii="宋体" w:eastAsia="宋体" w:hAnsi="宋体" w:cs="宋体"/>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282,479,054.29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282,479,054.29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247,277,462.13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-20,981,853.26</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9,131,015.55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302,221,066.58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476,869,602.53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-26,924,804.27</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449,944,798.26</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-1,062,920.28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333,149,674.13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332,086,753.85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62,157,277.97</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394,244,031.82</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（二）所</w:t>
            </w:r>
            <w:r>
              <w:rPr>
                <w:rFonts w:ascii="宋体" w:eastAsia="宋体" w:hAnsi="宋体" w:cs="宋体"/>
                <w:sz w:val="18"/>
                <w:szCs w:val="18"/>
              </w:rPr>
              <w:lastRenderedPageBreak/>
              <w:t>有者投入和减少资本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42,589,8</w:t>
            </w:r>
            <w:r>
              <w:rPr>
                <w:rFonts w:ascii="宋体" w:eastAsia="宋体" w:hAnsi="宋体" w:cs="宋体"/>
                <w:sz w:val="18"/>
                <w:szCs w:val="18"/>
              </w:rPr>
              <w:lastRenderedPageBreak/>
              <w:t>30.00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248,960,</w:t>
            </w:r>
            <w:r>
              <w:rPr>
                <w:rFonts w:ascii="宋体" w:eastAsia="宋体" w:hAnsi="宋体" w:cs="宋体"/>
                <w:sz w:val="18"/>
                <w:szCs w:val="18"/>
              </w:rPr>
              <w:lastRenderedPageBreak/>
              <w:t>588.41</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109,692,</w:t>
            </w:r>
            <w:r>
              <w:rPr>
                <w:rFonts w:ascii="宋体" w:eastAsia="宋体" w:hAnsi="宋体" w:cs="宋体"/>
                <w:sz w:val="18"/>
                <w:szCs w:val="18"/>
              </w:rPr>
              <w:lastRenderedPageBreak/>
              <w:t>304.00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181,858,</w:t>
            </w:r>
            <w:r>
              <w:rPr>
                <w:rFonts w:ascii="宋体" w:eastAsia="宋体" w:hAnsi="宋体" w:cs="宋体"/>
                <w:sz w:val="18"/>
                <w:szCs w:val="18"/>
              </w:rPr>
              <w:lastRenderedPageBreak/>
              <w:t>114.41</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4,376,77</w:t>
            </w:r>
            <w:r>
              <w:rPr>
                <w:rFonts w:ascii="宋体" w:eastAsia="宋体" w:hAnsi="宋体" w:cs="宋体"/>
                <w:sz w:val="18"/>
                <w:szCs w:val="18"/>
              </w:rPr>
              <w:lastRenderedPageBreak/>
              <w:t>6.39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186,234,</w:t>
            </w:r>
            <w:r>
              <w:rPr>
                <w:rFonts w:ascii="宋体" w:eastAsia="宋体" w:hAnsi="宋体" w:cs="宋体"/>
                <w:sz w:val="18"/>
                <w:szCs w:val="18"/>
              </w:rPr>
              <w:lastRenderedPageBreak/>
              <w:t>890.80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138,602,928.92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181,192,758.92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4,376,776.39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185,569,535.31</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110,357,659.49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665,355.49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665,355.49</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-50,847,540.53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3．对所有者（或股东）的分配</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w:t>
            </w:r>
            <w:r>
              <w:rPr>
                <w:rFonts w:ascii="宋体" w:eastAsia="宋体" w:hAnsi="宋体" w:cs="宋体"/>
                <w:sz w:val="18"/>
                <w:szCs w:val="18"/>
              </w:rPr>
              <w:lastRenderedPageBreak/>
              <w:t>）所有者权益内部结转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w:t>
            </w:r>
            <w:r>
              <w:rPr>
                <w:rFonts w:ascii="宋体" w:eastAsia="宋体" w:hAnsi="宋体" w:cs="宋体"/>
                <w:sz w:val="18"/>
                <w:szCs w:val="18"/>
              </w:rPr>
              <w:lastRenderedPageBreak/>
              <w:t>18,932.98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w:t>
            </w:r>
            <w:r>
              <w:rPr>
                <w:rFonts w:ascii="宋体" w:eastAsia="宋体" w:hAnsi="宋体" w:cs="宋体"/>
                <w:sz w:val="18"/>
                <w:szCs w:val="18"/>
              </w:rPr>
              <w:lastRenderedPageBreak/>
              <w:t>32.98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9,131,015.55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9,131,015.55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9,131,015.55</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22,725,471.70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22,725,471.70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22,725,471.70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13,594,456.1</w:t>
            </w:r>
            <w:r>
              <w:rPr>
                <w:rFonts w:ascii="宋体" w:eastAsia="宋体" w:hAnsi="宋体" w:cs="宋体"/>
                <w:sz w:val="18"/>
                <w:szCs w:val="18"/>
              </w:rPr>
              <w:lastRenderedPageBreak/>
              <w:t>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13,594,456.1</w:t>
            </w:r>
            <w:r>
              <w:rPr>
                <w:rFonts w:ascii="宋体" w:eastAsia="宋体" w:hAnsi="宋体" w:cs="宋体"/>
                <w:sz w:val="18"/>
                <w:szCs w:val="18"/>
              </w:rPr>
              <w:lastRenderedPageBreak/>
              <w:t>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13,594,456.1</w:t>
            </w:r>
            <w:r>
              <w:rPr>
                <w:rFonts w:ascii="宋体" w:eastAsia="宋体" w:hAnsi="宋体" w:cs="宋体"/>
                <w:sz w:val="18"/>
                <w:szCs w:val="18"/>
              </w:rPr>
              <w:lastRenderedPageBreak/>
              <w:t>5</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（六）其他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-1,683,126.28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-1,683,126.28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-93,458,858.63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-95,141,984.91</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2,270,909,631.57</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32,491,276.60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38,455,862.10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5,287,960,374.22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255,554,250.02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5,543,514,624.24</w:t>
            </w:r>
          </w:p>
        </w:tc>
      </w:tr>
    </w:tbl>
    <w:p w:rsidR="00BA0365" w:rsidRDefault="008D4B2E">
      <w:pPr>
        <w:spacing w:line="240" w:lineRule="exact"/>
        <w:rPr>
          <w:rFonts w:ascii="宋体" w:eastAsia="宋体" w:hAnsi="宋体" w:cs="宋体"/>
          <w:sz w:val="18"/>
          <w:szCs w:val="18"/>
        </w:rPr>
      </w:pPr>
      <w:r>
        <w:rPr>
          <w:rFonts w:ascii="宋体" w:eastAsia="宋体" w:hAnsi="宋体" w:cs="宋体"/>
          <w:sz w:val="18"/>
          <w:szCs w:val="18"/>
        </w:rPr>
        <w:t>上期金额</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602"/>
        <w:gridCol w:w="602"/>
        <w:gridCol w:w="602"/>
        <w:gridCol w:w="602"/>
        <w:gridCol w:w="603"/>
        <w:gridCol w:w="602"/>
        <w:gridCol w:w="602"/>
        <w:gridCol w:w="602"/>
        <w:gridCol w:w="602"/>
        <w:gridCol w:w="602"/>
        <w:gridCol w:w="602"/>
        <w:gridCol w:w="602"/>
        <w:gridCol w:w="602"/>
        <w:gridCol w:w="607"/>
        <w:gridCol w:w="602"/>
        <w:gridCol w:w="603"/>
      </w:tblGrid>
      <w:tr w:rsidR="00157EA0">
        <w:trPr>
          <w:trHeight w:val="240"/>
        </w:trPr>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9037" w:type="dxa"/>
            <w:gridSpan w:val="1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832"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归属于母公司所有者权益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少数股东权益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180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一般风险准备</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6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953,586,674.00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1,879,382,085.34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29,988,000.00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-806,538.39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27,456,497.72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329,676,528.85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1,294,264,991.83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4,453,572,239.35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267,591,619.88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4,721,163,859.23</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953,586,674.00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1,879,382,085.34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29,988,000.00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-806,538.39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27,456,497.72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329,676,528.85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1,294,264,991.83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4,453,572,239.35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267,591,619.88</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4,721,163,859.23</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144,250,084.10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54,279,668.25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1,868,348.83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200,345,186.47</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357,518,532.34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14,887,434.41</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372,405,966.75</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54,279,668.25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202,651,631.16</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256,931,299.41</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29,810,952.20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286,742,251.61</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（二）所有者投入和减少资本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144,281,662.33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98,750,462.33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99,750,462.33</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45,531,200.00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62,451,200.00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98,750,462.33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37,299,262.33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37,299,262.33</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2．提取一般风险准备</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3．对所有者（或股东）的分配</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（四）所有者权益内部结转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1,868,348.83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1,868,348.83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1,868,348.83</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12,345,351.32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12,345,351.32</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12,345,351.32</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2．本期</w:t>
            </w:r>
            <w:r>
              <w:rPr>
                <w:rFonts w:ascii="宋体" w:eastAsia="宋体" w:hAnsi="宋体" w:cs="宋体"/>
                <w:sz w:val="18"/>
                <w:szCs w:val="18"/>
              </w:rPr>
              <w:lastRenderedPageBreak/>
              <w:t>使用</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10,477,0</w:t>
            </w:r>
            <w:r>
              <w:rPr>
                <w:rFonts w:ascii="宋体" w:eastAsia="宋体" w:hAnsi="宋体" w:cs="宋体"/>
                <w:sz w:val="18"/>
                <w:szCs w:val="18"/>
              </w:rPr>
              <w:lastRenderedPageBreak/>
              <w:t>02.49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10,477,0</w:t>
            </w:r>
            <w:r>
              <w:rPr>
                <w:rFonts w:ascii="宋体" w:eastAsia="宋体" w:hAnsi="宋体" w:cs="宋体"/>
                <w:sz w:val="18"/>
                <w:szCs w:val="18"/>
              </w:rPr>
              <w:lastRenderedPageBreak/>
              <w:t>02.49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10,477,0</w:t>
            </w:r>
            <w:r>
              <w:rPr>
                <w:rFonts w:ascii="宋体" w:eastAsia="宋体" w:hAnsi="宋体" w:cs="宋体"/>
                <w:sz w:val="18"/>
                <w:szCs w:val="18"/>
              </w:rPr>
              <w:lastRenderedPageBreak/>
              <w:t>02.49</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（六）其他</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-31,578.23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-31,578.23</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-14,453,517.79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-14,485,096.02</w:t>
            </w:r>
          </w:p>
        </w:tc>
      </w:tr>
      <w:tr w:rsidR="00157EA0">
        <w:trPr>
          <w:trHeight w:val="240"/>
        </w:trPr>
        <w:tc>
          <w:tcPr>
            <w:tcW w:w="6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4,811,090,771.69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282,479,054.29</w:t>
            </w:r>
          </w:p>
        </w:tc>
        <w:tc>
          <w:tcPr>
            <w:tcW w:w="6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5,093,569,825.98</w:t>
            </w:r>
          </w:p>
        </w:tc>
      </w:tr>
    </w:tbl>
    <w:p w:rsidR="00BA0365" w:rsidRDefault="008D4B2E">
      <w:pPr>
        <w:pStyle w:val="3"/>
        <w:spacing w:line="280" w:lineRule="exact"/>
        <w:jc w:val="left"/>
        <w:rPr>
          <w:rFonts w:ascii="宋体" w:hAnsi="宋体" w:cs="宋体"/>
          <w:b/>
          <w:bCs/>
        </w:rPr>
      </w:pPr>
      <w:bookmarkStart w:id="159" w:name="_Toc989048"/>
      <w:r>
        <w:rPr>
          <w:rFonts w:ascii="宋体" w:hAnsi="宋体" w:cs="宋体"/>
          <w:b/>
          <w:bCs/>
        </w:rPr>
        <w:t>8、母公司所有者权益变动表</w:t>
      </w:r>
      <w:bookmarkEnd w:id="159"/>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本期金额</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1"/>
        <w:gridCol w:w="741"/>
        <w:gridCol w:w="741"/>
        <w:gridCol w:w="741"/>
        <w:gridCol w:w="742"/>
        <w:gridCol w:w="741"/>
        <w:gridCol w:w="741"/>
        <w:gridCol w:w="741"/>
        <w:gridCol w:w="741"/>
        <w:gridCol w:w="741"/>
        <w:gridCol w:w="741"/>
        <w:gridCol w:w="741"/>
        <w:gridCol w:w="746"/>
      </w:tblGrid>
      <w:tr w:rsidR="00157EA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898"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2023年度</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2224"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2,164,171,152.75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2,233,587,256.65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2,164,171,152.75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2,233,587,256.65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248,321,151.62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12,396,314.74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199,939,377.89</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（一）综</w:t>
            </w:r>
            <w:r>
              <w:rPr>
                <w:rFonts w:ascii="宋体" w:eastAsia="宋体" w:hAnsi="宋体" w:cs="宋体"/>
                <w:sz w:val="18"/>
                <w:szCs w:val="18"/>
              </w:rPr>
              <w:lastRenderedPageBreak/>
              <w:t>合收益总额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w:t>
            </w:r>
            <w:r>
              <w:rPr>
                <w:rFonts w:ascii="宋体" w:eastAsia="宋体" w:hAnsi="宋体" w:cs="宋体"/>
                <w:sz w:val="18"/>
                <w:szCs w:val="18"/>
              </w:rPr>
              <w:lastRenderedPageBreak/>
              <w:t>.27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w:t>
            </w:r>
            <w:r>
              <w:rPr>
                <w:rFonts w:ascii="宋体" w:eastAsia="宋体" w:hAnsi="宋体" w:cs="宋体"/>
                <w:sz w:val="18"/>
                <w:szCs w:val="18"/>
              </w:rPr>
              <w:lastRenderedPageBreak/>
              <w:t>.27</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（二）所有者投入和减少资本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248,321,151.62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181,218,677.62</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1．所有者投入的普通股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773D06">
            <w:pPr>
              <w:spacing w:line="240" w:lineRule="exact"/>
              <w:jc w:val="right"/>
              <w:rPr>
                <w:rFonts w:ascii="宋体" w:eastAsia="宋体" w:hAnsi="宋体" w:cs="宋体"/>
                <w:sz w:val="18"/>
                <w:szCs w:val="18"/>
              </w:rPr>
            </w:pPr>
            <w:r w:rsidRPr="00773D06">
              <w:rPr>
                <w:rFonts w:ascii="宋体" w:eastAsia="宋体" w:hAnsi="宋体" w:cs="宋体"/>
                <w:sz w:val="18"/>
                <w:szCs w:val="18"/>
              </w:rPr>
              <w:t>138,602,928.92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773D06">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248,960,588.36</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773D06">
            <w:pPr>
              <w:spacing w:line="240" w:lineRule="exact"/>
              <w:jc w:val="right"/>
              <w:rPr>
                <w:rFonts w:ascii="宋体" w:eastAsia="宋体" w:hAnsi="宋体" w:cs="宋体"/>
                <w:sz w:val="18"/>
                <w:szCs w:val="18"/>
              </w:rPr>
            </w:pPr>
            <w:r w:rsidRPr="00773D06">
              <w:rPr>
                <w:rFonts w:ascii="宋体" w:eastAsia="宋体" w:hAnsi="宋体" w:cs="宋体"/>
                <w:sz w:val="18"/>
                <w:szCs w:val="18"/>
              </w:rPr>
              <w:t>110,357,659.44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-109,692,304.00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-639,436.74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-639,436.74</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-50,847,540.53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2．对所有者（或股东）的分配</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（四）所有者</w:t>
            </w:r>
            <w:r>
              <w:rPr>
                <w:rFonts w:ascii="宋体" w:eastAsia="宋体" w:hAnsi="宋体" w:cs="宋体"/>
                <w:sz w:val="18"/>
                <w:szCs w:val="18"/>
              </w:rPr>
              <w:lastRenderedPageBreak/>
              <w:t>权益内部结转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1．资本公积转增资本（或股本）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2．盈余公积转增资本（或股本）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四、本期期末余额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2,412,492,304.37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338,307,359.07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2,245,983,571.39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5,802,648,234.83</w:t>
            </w:r>
          </w:p>
        </w:tc>
      </w:tr>
    </w:tbl>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上期金额</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1"/>
        <w:gridCol w:w="741"/>
        <w:gridCol w:w="741"/>
        <w:gridCol w:w="741"/>
        <w:gridCol w:w="742"/>
        <w:gridCol w:w="741"/>
        <w:gridCol w:w="741"/>
        <w:gridCol w:w="741"/>
        <w:gridCol w:w="741"/>
        <w:gridCol w:w="741"/>
        <w:gridCol w:w="741"/>
        <w:gridCol w:w="741"/>
        <w:gridCol w:w="746"/>
      </w:tblGrid>
      <w:tr w:rsidR="00157EA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8898" w:type="dxa"/>
            <w:gridSpan w:val="1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2022年度</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股本</w:t>
            </w:r>
          </w:p>
        </w:tc>
        <w:tc>
          <w:tcPr>
            <w:tcW w:w="2224"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其他权益工具</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资本公积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减：库存股</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专项储备</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盈余公积</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未分配利润</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所有者权益合计</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优先股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永续债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一、上年期末余额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953,586,674.00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2,019,895,092.72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29,988,000.00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121,541.69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329,676,528.85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2,212,829,254.49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5,486,121,091.75</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加：会计政策变更</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前期差错更正</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二、本年期初余额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953,586,674.00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2,019,895,092.72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29,988,000.00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121,541.69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329,676,528.85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2,212,829,254.49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5,486,121,091.75</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三、本期增减变动金额（减少以“－”号填列）</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144,276,060.03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-5,221,541.69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20,758,002.16</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116,587,765.19</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（一）综合收益总额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-5,221,541.69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23,064,446.85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17,842,905.16</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（二）所有者投入和减少资本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144,276,060.03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98,744,860.03</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1．所有者投入的普通股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2．其他权益工具持有者投入资本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3．股份支付计入所有者权益的金额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98,750,462.33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61,451,200.00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37,299,262.33</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-5,602.30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-5,602.30</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（三）利润分配</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1．提取盈余公积</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2．对所有者（或股东）的分配</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（四）所有者权益内部结转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1．资本公积转增资本（或股</w:t>
            </w:r>
            <w:r>
              <w:rPr>
                <w:rFonts w:ascii="宋体" w:eastAsia="宋体" w:hAnsi="宋体" w:cs="宋体"/>
                <w:sz w:val="18"/>
                <w:szCs w:val="18"/>
              </w:rPr>
              <w:lastRenderedPageBreak/>
              <w:t>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2．盈余公积转增资本（或股本）</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3．盈余公积弥补亏损</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4．设定受益计划变动额结转留存收益</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5．其他综合收益结转留存收益</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6．其他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（五）专项储备</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1．本期提取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2．本期使用</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（六）其他</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四、本期期末余额</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2,164,171,152.75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2,233,587,256.65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5,602,708,856.94</w:t>
            </w:r>
          </w:p>
        </w:tc>
      </w:tr>
    </w:tbl>
    <w:p w:rsidR="00BA0365" w:rsidRDefault="008D4B2E">
      <w:pPr>
        <w:pStyle w:val="2"/>
        <w:spacing w:before="300" w:after="300" w:line="320" w:lineRule="exact"/>
        <w:rPr>
          <w:rFonts w:ascii="宋体" w:eastAsia="宋体" w:hAnsi="宋体" w:cs="宋体"/>
          <w:b/>
          <w:bCs/>
          <w:sz w:val="24"/>
          <w:szCs w:val="24"/>
        </w:rPr>
      </w:pPr>
      <w:bookmarkStart w:id="160" w:name="_Toc989049"/>
      <w:r>
        <w:rPr>
          <w:rFonts w:ascii="宋体" w:eastAsia="宋体" w:hAnsi="宋体" w:cs="宋体"/>
          <w:b/>
          <w:bCs/>
          <w:sz w:val="24"/>
          <w:szCs w:val="24"/>
        </w:rPr>
        <w:t>三、公司基本情况</w:t>
      </w:r>
      <w:bookmarkEnd w:id="160"/>
    </w:p>
    <w:p w:rsidR="008D4B2E" w:rsidRPr="00606927" w:rsidRDefault="008D4B2E" w:rsidP="00B818D2">
      <w:pPr>
        <w:widowControl/>
        <w:numPr>
          <w:ilvl w:val="0"/>
          <w:numId w:val="7"/>
        </w:numPr>
        <w:spacing w:before="100" w:beforeAutospacing="1" w:after="100" w:afterAutospacing="1"/>
        <w:divId w:val="1406106886"/>
        <w:rPr>
          <w:rStyle w:val="a4"/>
        </w:rPr>
      </w:pPr>
      <w:r w:rsidRPr="00606927">
        <w:rPr>
          <w:rStyle w:val="a4"/>
          <w:rFonts w:hint="eastAsia"/>
          <w:sz w:val="18"/>
          <w:szCs w:val="18"/>
        </w:rPr>
        <w:t> </w:t>
      </w:r>
      <w:r w:rsidRPr="00606927">
        <w:rPr>
          <w:rStyle w:val="a4"/>
          <w:rFonts w:hint="eastAsia"/>
          <w:sz w:val="18"/>
          <w:szCs w:val="18"/>
        </w:rPr>
        <w:t>公司注册地、组织形式和总部地址</w:t>
      </w:r>
    </w:p>
    <w:p w:rsidR="008D4B2E" w:rsidRPr="00606927" w:rsidRDefault="008D4B2E" w:rsidP="00B818D2">
      <w:pPr>
        <w:pStyle w:val="a3"/>
        <w:spacing w:before="0" w:beforeAutospacing="0" w:after="0" w:afterAutospacing="0"/>
        <w:ind w:firstLine="400"/>
        <w:jc w:val="both"/>
        <w:divId w:val="1406106886"/>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lastRenderedPageBreak/>
        <w:t>软控股份有限公司</w:t>
      </w:r>
      <w:proofErr w:type="gramEnd"/>
      <w:r w:rsidRPr="00606927">
        <w:rPr>
          <w:rFonts w:asciiTheme="minorHAnsi" w:eastAsiaTheme="minorEastAsia" w:hAnsiTheme="minorHAnsi" w:cs="Times New Roman" w:hint="eastAsia"/>
          <w:kern w:val="2"/>
          <w:sz w:val="18"/>
          <w:szCs w:val="18"/>
        </w:rPr>
        <w:t>（以下简称</w:t>
      </w:r>
      <w:r w:rsidRPr="00606927">
        <w:rPr>
          <w:rFonts w:asciiTheme="minorHAnsi" w:eastAsiaTheme="minorEastAsia" w:hAnsiTheme="minorHAnsi" w:cs="Times New Roman"/>
          <w:kern w:val="2"/>
          <w:sz w:val="18"/>
          <w:szCs w:val="18"/>
        </w:rPr>
        <w:t>“</w:t>
      </w:r>
      <w:r w:rsidRPr="00606927">
        <w:rPr>
          <w:rFonts w:asciiTheme="minorHAnsi" w:eastAsiaTheme="minorEastAsia" w:hAnsiTheme="minorHAnsi" w:cs="Times New Roman" w:hint="eastAsia"/>
          <w:kern w:val="2"/>
          <w:sz w:val="18"/>
          <w:szCs w:val="18"/>
        </w:rPr>
        <w:t>本公司</w:t>
      </w:r>
      <w:r w:rsidRPr="00606927">
        <w:rPr>
          <w:rFonts w:asciiTheme="minorHAnsi" w:eastAsiaTheme="minorEastAsia" w:hAnsiTheme="minorHAnsi" w:cs="Times New Roman"/>
          <w:kern w:val="2"/>
          <w:sz w:val="18"/>
          <w:szCs w:val="18"/>
        </w:rPr>
        <w:t>”</w:t>
      </w:r>
      <w:r w:rsidRPr="00606927">
        <w:rPr>
          <w:rFonts w:asciiTheme="minorHAnsi" w:eastAsiaTheme="minorEastAsia" w:hAnsiTheme="minorHAnsi" w:cs="Times New Roman" w:hint="eastAsia"/>
          <w:kern w:val="2"/>
          <w:sz w:val="18"/>
          <w:szCs w:val="18"/>
        </w:rPr>
        <w:t>或</w:t>
      </w:r>
      <w:r w:rsidRPr="00606927">
        <w:rPr>
          <w:rFonts w:asciiTheme="minorHAnsi" w:eastAsiaTheme="minorEastAsia" w:hAnsiTheme="minorHAnsi" w:cs="Times New Roman"/>
          <w:kern w:val="2"/>
          <w:sz w:val="18"/>
          <w:szCs w:val="18"/>
        </w:rPr>
        <w:t>“</w:t>
      </w:r>
      <w:r w:rsidRPr="00606927">
        <w:rPr>
          <w:rFonts w:asciiTheme="minorHAnsi" w:eastAsiaTheme="minorEastAsia" w:hAnsiTheme="minorHAnsi" w:cs="Times New Roman" w:hint="eastAsia"/>
          <w:kern w:val="2"/>
          <w:sz w:val="18"/>
          <w:szCs w:val="18"/>
        </w:rPr>
        <w:t>公司</w:t>
      </w:r>
      <w:r w:rsidRPr="00606927">
        <w:rPr>
          <w:rFonts w:asciiTheme="minorHAnsi" w:eastAsiaTheme="minorEastAsia" w:hAnsiTheme="minorHAnsi" w:cs="Times New Roman"/>
          <w:kern w:val="2"/>
          <w:sz w:val="18"/>
          <w:szCs w:val="18"/>
        </w:rPr>
        <w:t>”</w:t>
      </w:r>
      <w:r w:rsidRPr="00606927">
        <w:rPr>
          <w:rFonts w:asciiTheme="minorHAnsi" w:eastAsiaTheme="minorEastAsia" w:hAnsiTheme="minorHAnsi" w:cs="Times New Roman" w:hint="eastAsia"/>
          <w:kern w:val="2"/>
          <w:sz w:val="18"/>
          <w:szCs w:val="18"/>
        </w:rPr>
        <w:t>）前身为</w:t>
      </w:r>
      <w:r w:rsidRPr="00606927">
        <w:rPr>
          <w:rFonts w:asciiTheme="minorHAnsi" w:eastAsiaTheme="minorEastAsia" w:hAnsiTheme="minorHAnsi" w:cs="Times New Roman"/>
          <w:kern w:val="2"/>
          <w:sz w:val="18"/>
          <w:szCs w:val="18"/>
        </w:rPr>
        <w:t>2000</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4</w:t>
      </w:r>
      <w:r w:rsidRPr="00606927">
        <w:rPr>
          <w:rFonts w:asciiTheme="minorHAnsi" w:eastAsiaTheme="minorEastAsia" w:hAnsiTheme="minorHAnsi" w:cs="Times New Roman" w:hint="eastAsia"/>
          <w:kern w:val="2"/>
          <w:sz w:val="18"/>
          <w:szCs w:val="18"/>
        </w:rPr>
        <w:t>月</w:t>
      </w:r>
      <w:r w:rsidRPr="00606927">
        <w:rPr>
          <w:rFonts w:asciiTheme="minorHAnsi" w:eastAsiaTheme="minorEastAsia" w:hAnsiTheme="minorHAnsi" w:cs="Times New Roman"/>
          <w:kern w:val="2"/>
          <w:sz w:val="18"/>
          <w:szCs w:val="18"/>
        </w:rPr>
        <w:t>4</w:t>
      </w:r>
      <w:r w:rsidRPr="00606927">
        <w:rPr>
          <w:rFonts w:asciiTheme="minorHAnsi" w:eastAsiaTheme="minorEastAsia" w:hAnsiTheme="minorHAnsi" w:cs="Times New Roman" w:hint="eastAsia"/>
          <w:kern w:val="2"/>
          <w:sz w:val="18"/>
          <w:szCs w:val="18"/>
        </w:rPr>
        <w:t>日成立的青岛时代网络工程有限公司，</w:t>
      </w:r>
      <w:r w:rsidRPr="00606927">
        <w:rPr>
          <w:rFonts w:asciiTheme="minorHAnsi" w:eastAsiaTheme="minorEastAsia" w:hAnsiTheme="minorHAnsi" w:cs="Times New Roman"/>
          <w:kern w:val="2"/>
          <w:sz w:val="18"/>
          <w:szCs w:val="18"/>
        </w:rPr>
        <w:t>2000</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10</w:t>
      </w:r>
      <w:r w:rsidRPr="00606927">
        <w:rPr>
          <w:rFonts w:asciiTheme="minorHAnsi" w:eastAsiaTheme="minorEastAsia" w:hAnsiTheme="minorHAnsi" w:cs="Times New Roman" w:hint="eastAsia"/>
          <w:kern w:val="2"/>
          <w:sz w:val="18"/>
          <w:szCs w:val="18"/>
        </w:rPr>
        <w:t>月更名为青岛高校软控有限公司，</w:t>
      </w:r>
      <w:r w:rsidRPr="00606927">
        <w:rPr>
          <w:rFonts w:asciiTheme="minorHAnsi" w:eastAsiaTheme="minorEastAsia" w:hAnsiTheme="minorHAnsi" w:cs="Times New Roman"/>
          <w:kern w:val="2"/>
          <w:sz w:val="18"/>
          <w:szCs w:val="18"/>
        </w:rPr>
        <w:t>2010</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3</w:t>
      </w:r>
      <w:r w:rsidRPr="00606927">
        <w:rPr>
          <w:rFonts w:asciiTheme="minorHAnsi" w:eastAsiaTheme="minorEastAsia" w:hAnsiTheme="minorHAnsi" w:cs="Times New Roman" w:hint="eastAsia"/>
          <w:kern w:val="2"/>
          <w:sz w:val="18"/>
          <w:szCs w:val="18"/>
        </w:rPr>
        <w:t>月公司更名</w:t>
      </w:r>
      <w:proofErr w:type="gramStart"/>
      <w:r w:rsidRPr="00606927">
        <w:rPr>
          <w:rFonts w:asciiTheme="minorHAnsi" w:eastAsiaTheme="minorEastAsia" w:hAnsiTheme="minorHAnsi" w:cs="Times New Roman" w:hint="eastAsia"/>
          <w:kern w:val="2"/>
          <w:sz w:val="18"/>
          <w:szCs w:val="18"/>
        </w:rPr>
        <w:t>为软控股份有限公司</w:t>
      </w:r>
      <w:proofErr w:type="gramEnd"/>
      <w:r w:rsidRPr="00606927">
        <w:rPr>
          <w:rFonts w:asciiTheme="minorHAnsi" w:eastAsiaTheme="minorEastAsia" w:hAnsiTheme="minorHAnsi" w:cs="Times New Roman" w:hint="eastAsia"/>
          <w:kern w:val="2"/>
          <w:sz w:val="18"/>
          <w:szCs w:val="18"/>
        </w:rPr>
        <w:t>。</w:t>
      </w:r>
      <w:r w:rsidRPr="00606927">
        <w:rPr>
          <w:rFonts w:asciiTheme="minorHAnsi" w:eastAsiaTheme="minorEastAsia" w:hAnsiTheme="minorHAnsi" w:cs="Times New Roman"/>
          <w:kern w:val="2"/>
          <w:sz w:val="18"/>
          <w:szCs w:val="18"/>
        </w:rPr>
        <w:t>2000</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12</w:t>
      </w:r>
      <w:r w:rsidRPr="00606927">
        <w:rPr>
          <w:rFonts w:asciiTheme="minorHAnsi" w:eastAsiaTheme="minorEastAsia" w:hAnsiTheme="minorHAnsi" w:cs="Times New Roman" w:hint="eastAsia"/>
          <w:kern w:val="2"/>
          <w:sz w:val="18"/>
          <w:szCs w:val="18"/>
        </w:rPr>
        <w:t>月</w:t>
      </w:r>
      <w:r w:rsidRPr="00606927">
        <w:rPr>
          <w:rFonts w:asciiTheme="minorHAnsi" w:eastAsiaTheme="minorEastAsia" w:hAnsiTheme="minorHAnsi" w:cs="Times New Roman"/>
          <w:kern w:val="2"/>
          <w:sz w:val="18"/>
          <w:szCs w:val="18"/>
        </w:rPr>
        <w:t>22</w:t>
      </w:r>
      <w:r w:rsidRPr="00606927">
        <w:rPr>
          <w:rFonts w:asciiTheme="minorHAnsi" w:eastAsiaTheme="minorEastAsia" w:hAnsiTheme="minorHAnsi" w:cs="Times New Roman" w:hint="eastAsia"/>
          <w:kern w:val="2"/>
          <w:sz w:val="18"/>
          <w:szCs w:val="18"/>
        </w:rPr>
        <w:t>日公司经青岛市人民政府批准（</w:t>
      </w:r>
      <w:proofErr w:type="gramStart"/>
      <w:r w:rsidRPr="00606927">
        <w:rPr>
          <w:rFonts w:asciiTheme="minorHAnsi" w:eastAsiaTheme="minorEastAsia" w:hAnsiTheme="minorHAnsi" w:cs="Times New Roman" w:hint="eastAsia"/>
          <w:kern w:val="2"/>
          <w:sz w:val="18"/>
          <w:szCs w:val="18"/>
        </w:rPr>
        <w:t>青股改</w:t>
      </w:r>
      <w:proofErr w:type="gramEnd"/>
      <w:r w:rsidRPr="00606927">
        <w:rPr>
          <w:rFonts w:asciiTheme="minorHAnsi" w:eastAsiaTheme="minorEastAsia" w:hAnsiTheme="minorHAnsi" w:cs="Times New Roman" w:hint="eastAsia"/>
          <w:kern w:val="2"/>
          <w:sz w:val="18"/>
          <w:szCs w:val="18"/>
        </w:rPr>
        <w:t>字</w:t>
      </w:r>
      <w:r w:rsidRPr="00606927">
        <w:rPr>
          <w:rFonts w:asciiTheme="minorHAnsi" w:eastAsiaTheme="minorEastAsia" w:hAnsiTheme="minorHAnsi" w:cs="Times New Roman"/>
          <w:kern w:val="2"/>
          <w:sz w:val="18"/>
          <w:szCs w:val="18"/>
        </w:rPr>
        <w:t>[2000]12</w:t>
      </w:r>
      <w:r w:rsidRPr="00606927">
        <w:rPr>
          <w:rFonts w:asciiTheme="minorHAnsi" w:eastAsiaTheme="minorEastAsia" w:hAnsiTheme="minorHAnsi" w:cs="Times New Roman" w:hint="eastAsia"/>
          <w:kern w:val="2"/>
          <w:sz w:val="18"/>
          <w:szCs w:val="18"/>
        </w:rPr>
        <w:t>号批准证书），根据青岛市经济体制改革委员会《关于青岛高校软控股份有限公司获准设立的通知》（青</w:t>
      </w:r>
      <w:proofErr w:type="gramStart"/>
      <w:r w:rsidRPr="00606927">
        <w:rPr>
          <w:rFonts w:asciiTheme="minorHAnsi" w:eastAsiaTheme="minorEastAsia" w:hAnsiTheme="minorHAnsi" w:cs="Times New Roman" w:hint="eastAsia"/>
          <w:kern w:val="2"/>
          <w:sz w:val="18"/>
          <w:szCs w:val="18"/>
        </w:rPr>
        <w:t>体改发</w:t>
      </w:r>
      <w:proofErr w:type="gramEnd"/>
      <w:r w:rsidRPr="00606927">
        <w:rPr>
          <w:rFonts w:asciiTheme="minorHAnsi" w:eastAsiaTheme="minorEastAsia" w:hAnsiTheme="minorHAnsi" w:cs="Times New Roman"/>
          <w:kern w:val="2"/>
          <w:sz w:val="18"/>
          <w:szCs w:val="18"/>
        </w:rPr>
        <w:t>[2000]186</w:t>
      </w:r>
      <w:r w:rsidRPr="00606927">
        <w:rPr>
          <w:rFonts w:asciiTheme="minorHAnsi" w:eastAsiaTheme="minorEastAsia" w:hAnsiTheme="minorHAnsi" w:cs="Times New Roman" w:hint="eastAsia"/>
          <w:kern w:val="2"/>
          <w:sz w:val="18"/>
          <w:szCs w:val="18"/>
        </w:rPr>
        <w:t>号），在原青岛高校软控有限公司基础上整体变更设立为股份有限公司。</w:t>
      </w:r>
      <w:r w:rsidRPr="00606927">
        <w:rPr>
          <w:rFonts w:asciiTheme="minorHAnsi" w:eastAsiaTheme="minorEastAsia" w:hAnsiTheme="minorHAnsi" w:cs="Times New Roman"/>
          <w:kern w:val="2"/>
          <w:sz w:val="18"/>
          <w:szCs w:val="18"/>
        </w:rPr>
        <w:t>2006</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10</w:t>
      </w:r>
      <w:r w:rsidRPr="00606927">
        <w:rPr>
          <w:rFonts w:asciiTheme="minorHAnsi" w:eastAsiaTheme="minorEastAsia" w:hAnsiTheme="minorHAnsi" w:cs="Times New Roman" w:hint="eastAsia"/>
          <w:kern w:val="2"/>
          <w:sz w:val="18"/>
          <w:szCs w:val="18"/>
        </w:rPr>
        <w:t>月</w:t>
      </w:r>
      <w:r w:rsidRPr="00606927">
        <w:rPr>
          <w:rFonts w:asciiTheme="minorHAnsi" w:eastAsiaTheme="minorEastAsia" w:hAnsiTheme="minorHAnsi" w:cs="Times New Roman"/>
          <w:kern w:val="2"/>
          <w:sz w:val="18"/>
          <w:szCs w:val="18"/>
        </w:rPr>
        <w:t>13</w:t>
      </w:r>
      <w:r w:rsidRPr="00606927">
        <w:rPr>
          <w:rFonts w:asciiTheme="minorHAnsi" w:eastAsiaTheme="minorEastAsia" w:hAnsiTheme="minorHAnsi" w:cs="Times New Roman" w:hint="eastAsia"/>
          <w:kern w:val="2"/>
          <w:sz w:val="18"/>
          <w:szCs w:val="18"/>
        </w:rPr>
        <w:t>日，公司经中国证券监督管理委员会证</w:t>
      </w:r>
      <w:proofErr w:type="gramStart"/>
      <w:r w:rsidRPr="00606927">
        <w:rPr>
          <w:rFonts w:asciiTheme="minorHAnsi" w:eastAsiaTheme="minorEastAsia" w:hAnsiTheme="minorHAnsi" w:cs="Times New Roman" w:hint="eastAsia"/>
          <w:kern w:val="2"/>
          <w:sz w:val="18"/>
          <w:szCs w:val="18"/>
        </w:rPr>
        <w:t>监发行字</w:t>
      </w:r>
      <w:proofErr w:type="gramEnd"/>
      <w:r w:rsidRPr="00606927">
        <w:rPr>
          <w:rFonts w:asciiTheme="minorHAnsi" w:eastAsiaTheme="minorEastAsia" w:hAnsiTheme="minorHAnsi" w:cs="Times New Roman"/>
          <w:kern w:val="2"/>
          <w:sz w:val="18"/>
          <w:szCs w:val="18"/>
        </w:rPr>
        <w:t>[2006]75</w:t>
      </w:r>
      <w:r w:rsidRPr="00606927">
        <w:rPr>
          <w:rFonts w:asciiTheme="minorHAnsi" w:eastAsiaTheme="minorEastAsia" w:hAnsiTheme="minorHAnsi" w:cs="Times New Roman" w:hint="eastAsia"/>
          <w:kern w:val="2"/>
          <w:sz w:val="18"/>
          <w:szCs w:val="18"/>
        </w:rPr>
        <w:t>号文核准，向社会公众发行人民币普通股</w:t>
      </w:r>
      <w:r w:rsidRPr="00606927">
        <w:rPr>
          <w:rFonts w:asciiTheme="minorHAnsi" w:eastAsiaTheme="minorEastAsia" w:hAnsiTheme="minorHAnsi" w:cs="Times New Roman"/>
          <w:kern w:val="2"/>
          <w:sz w:val="18"/>
          <w:szCs w:val="18"/>
        </w:rPr>
        <w:t>1,800</w:t>
      </w:r>
      <w:r w:rsidRPr="00606927">
        <w:rPr>
          <w:rFonts w:asciiTheme="minorHAnsi" w:eastAsiaTheme="minorEastAsia" w:hAnsiTheme="minorHAnsi" w:cs="Times New Roman" w:hint="eastAsia"/>
          <w:kern w:val="2"/>
          <w:sz w:val="18"/>
          <w:szCs w:val="18"/>
        </w:rPr>
        <w:t>万股，并于</w:t>
      </w:r>
      <w:r w:rsidRPr="00606927">
        <w:rPr>
          <w:rFonts w:asciiTheme="minorHAnsi" w:eastAsiaTheme="minorEastAsia" w:hAnsiTheme="minorHAnsi" w:cs="Times New Roman"/>
          <w:kern w:val="2"/>
          <w:sz w:val="18"/>
          <w:szCs w:val="18"/>
        </w:rPr>
        <w:t>2006</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10</w:t>
      </w:r>
      <w:r w:rsidRPr="00606927">
        <w:rPr>
          <w:rFonts w:asciiTheme="minorHAnsi" w:eastAsiaTheme="minorEastAsia" w:hAnsiTheme="minorHAnsi" w:cs="Times New Roman" w:hint="eastAsia"/>
          <w:kern w:val="2"/>
          <w:sz w:val="18"/>
          <w:szCs w:val="18"/>
        </w:rPr>
        <w:t>月</w:t>
      </w:r>
      <w:r w:rsidRPr="00606927">
        <w:rPr>
          <w:rFonts w:asciiTheme="minorHAnsi" w:eastAsiaTheme="minorEastAsia" w:hAnsiTheme="minorHAnsi" w:cs="Times New Roman"/>
          <w:kern w:val="2"/>
          <w:sz w:val="18"/>
          <w:szCs w:val="18"/>
        </w:rPr>
        <w:t>18</w:t>
      </w:r>
      <w:r w:rsidRPr="00606927">
        <w:rPr>
          <w:rFonts w:asciiTheme="minorHAnsi" w:eastAsiaTheme="minorEastAsia" w:hAnsiTheme="minorHAnsi" w:cs="Times New Roman" w:hint="eastAsia"/>
          <w:kern w:val="2"/>
          <w:sz w:val="18"/>
          <w:szCs w:val="18"/>
        </w:rPr>
        <w:t>日在深圳证券交易所中小板上市交易，目前注册资本为</w:t>
      </w:r>
      <w:r w:rsidRPr="00606927">
        <w:rPr>
          <w:rFonts w:asciiTheme="minorHAnsi" w:eastAsiaTheme="minorEastAsia" w:hAnsiTheme="minorHAnsi" w:cs="Times New Roman"/>
          <w:kern w:val="2"/>
          <w:sz w:val="18"/>
          <w:szCs w:val="18"/>
        </w:rPr>
        <w:t>101,209.6504</w:t>
      </w:r>
      <w:r w:rsidRPr="00606927">
        <w:rPr>
          <w:rFonts w:asciiTheme="minorHAnsi" w:eastAsiaTheme="minorEastAsia" w:hAnsiTheme="minorHAnsi" w:cs="Times New Roman" w:hint="eastAsia"/>
          <w:kern w:val="2"/>
          <w:sz w:val="18"/>
          <w:szCs w:val="18"/>
        </w:rPr>
        <w:t>万元。</w:t>
      </w:r>
    </w:p>
    <w:p w:rsidR="008D4B2E" w:rsidRDefault="008D4B2E" w:rsidP="00B818D2">
      <w:pPr>
        <w:pStyle w:val="a3"/>
        <w:spacing w:before="0" w:beforeAutospacing="0" w:after="0" w:afterAutospacing="0"/>
        <w:ind w:firstLine="400"/>
        <w:jc w:val="both"/>
        <w:divId w:val="1406106886"/>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公司在青岛市工商行政管理局登记注册，统一社会信用代码：</w:t>
      </w:r>
      <w:r w:rsidRPr="00606927">
        <w:rPr>
          <w:rFonts w:asciiTheme="minorHAnsi" w:eastAsiaTheme="minorEastAsia" w:hAnsiTheme="minorHAnsi" w:cs="Times New Roman"/>
          <w:kern w:val="2"/>
          <w:sz w:val="18"/>
          <w:szCs w:val="18"/>
        </w:rPr>
        <w:t>913702007180555372</w:t>
      </w:r>
      <w:r w:rsidRPr="00606927">
        <w:rPr>
          <w:rFonts w:asciiTheme="minorHAnsi" w:eastAsiaTheme="minorEastAsia" w:hAnsiTheme="minorHAnsi" w:cs="Times New Roman" w:hint="eastAsia"/>
          <w:kern w:val="2"/>
          <w:sz w:val="18"/>
          <w:szCs w:val="18"/>
        </w:rPr>
        <w:t>，公司注册地为山东省青岛市高新区新</w:t>
      </w:r>
      <w:proofErr w:type="gramStart"/>
      <w:r w:rsidRPr="00606927">
        <w:rPr>
          <w:rFonts w:asciiTheme="minorHAnsi" w:eastAsiaTheme="minorEastAsia" w:hAnsiTheme="minorHAnsi" w:cs="Times New Roman" w:hint="eastAsia"/>
          <w:kern w:val="2"/>
          <w:sz w:val="18"/>
          <w:szCs w:val="18"/>
        </w:rPr>
        <w:t>业路</w:t>
      </w:r>
      <w:r w:rsidRPr="00606927">
        <w:rPr>
          <w:rFonts w:asciiTheme="minorHAnsi" w:eastAsiaTheme="minorEastAsia" w:hAnsiTheme="minorHAnsi" w:cs="Times New Roman"/>
          <w:kern w:val="2"/>
          <w:sz w:val="18"/>
          <w:szCs w:val="18"/>
        </w:rPr>
        <w:t>31</w:t>
      </w:r>
      <w:r w:rsidRPr="00606927">
        <w:rPr>
          <w:rFonts w:asciiTheme="minorHAnsi" w:eastAsiaTheme="minorEastAsia" w:hAnsiTheme="minorHAnsi" w:cs="Times New Roman" w:hint="eastAsia"/>
          <w:kern w:val="2"/>
          <w:sz w:val="18"/>
          <w:szCs w:val="18"/>
        </w:rPr>
        <w:t>号远创国际蓝湾创意园</w:t>
      </w:r>
      <w:proofErr w:type="gramEnd"/>
      <w:r w:rsidRPr="00606927">
        <w:rPr>
          <w:rFonts w:asciiTheme="minorHAnsi" w:eastAsiaTheme="minorEastAsia" w:hAnsiTheme="minorHAnsi" w:cs="Times New Roman"/>
          <w:kern w:val="2"/>
          <w:sz w:val="18"/>
          <w:szCs w:val="18"/>
        </w:rPr>
        <w:t>B</w:t>
      </w:r>
      <w:r w:rsidRPr="00606927">
        <w:rPr>
          <w:rFonts w:asciiTheme="minorHAnsi" w:eastAsiaTheme="minorEastAsia" w:hAnsiTheme="minorHAnsi" w:cs="Times New Roman" w:hint="eastAsia"/>
          <w:kern w:val="2"/>
          <w:sz w:val="18"/>
          <w:szCs w:val="18"/>
        </w:rPr>
        <w:t>区</w:t>
      </w:r>
      <w:r w:rsidRPr="00606927">
        <w:rPr>
          <w:rFonts w:asciiTheme="minorHAnsi" w:eastAsiaTheme="minorEastAsia" w:hAnsiTheme="minorHAnsi" w:cs="Times New Roman"/>
          <w:kern w:val="2"/>
          <w:sz w:val="18"/>
          <w:szCs w:val="18"/>
        </w:rPr>
        <w:t>1</w:t>
      </w:r>
      <w:r w:rsidRPr="00606927">
        <w:rPr>
          <w:rFonts w:asciiTheme="minorHAnsi" w:eastAsiaTheme="minorEastAsia" w:hAnsiTheme="minorHAnsi" w:cs="Times New Roman" w:hint="eastAsia"/>
          <w:kern w:val="2"/>
          <w:sz w:val="18"/>
          <w:szCs w:val="18"/>
        </w:rPr>
        <w:t>号楼</w:t>
      </w:r>
      <w:r w:rsidRPr="00606927">
        <w:rPr>
          <w:rFonts w:asciiTheme="minorHAnsi" w:eastAsiaTheme="minorEastAsia" w:hAnsiTheme="minorHAnsi" w:cs="Times New Roman"/>
          <w:kern w:val="2"/>
          <w:sz w:val="18"/>
          <w:szCs w:val="18"/>
        </w:rPr>
        <w:t>202</w:t>
      </w:r>
      <w:r w:rsidRPr="00606927">
        <w:rPr>
          <w:rFonts w:asciiTheme="minorHAnsi" w:eastAsiaTheme="minorEastAsia" w:hAnsiTheme="minorHAnsi" w:cs="Times New Roman" w:hint="eastAsia"/>
          <w:kern w:val="2"/>
          <w:sz w:val="18"/>
          <w:szCs w:val="18"/>
        </w:rPr>
        <w:t>室，总部地址：青岛市郑州路</w:t>
      </w:r>
      <w:r w:rsidRPr="00606927">
        <w:rPr>
          <w:rFonts w:asciiTheme="minorHAnsi" w:eastAsiaTheme="minorEastAsia" w:hAnsiTheme="minorHAnsi" w:cs="Times New Roman"/>
          <w:kern w:val="2"/>
          <w:sz w:val="18"/>
          <w:szCs w:val="18"/>
        </w:rPr>
        <w:t>43</w:t>
      </w:r>
      <w:r w:rsidRPr="00606927">
        <w:rPr>
          <w:rFonts w:asciiTheme="minorHAnsi" w:eastAsiaTheme="minorEastAsia" w:hAnsiTheme="minorHAnsi" w:cs="Times New Roman" w:hint="eastAsia"/>
          <w:kern w:val="2"/>
          <w:sz w:val="18"/>
          <w:szCs w:val="18"/>
        </w:rPr>
        <w:t>号。法定代表人：官</w:t>
      </w:r>
      <w:proofErr w:type="gramStart"/>
      <w:r w:rsidRPr="00606927">
        <w:rPr>
          <w:rFonts w:asciiTheme="minorHAnsi" w:eastAsiaTheme="minorEastAsia" w:hAnsiTheme="minorHAnsi" w:cs="Times New Roman" w:hint="eastAsia"/>
          <w:kern w:val="2"/>
          <w:sz w:val="18"/>
          <w:szCs w:val="18"/>
        </w:rPr>
        <w:t>炳</w:t>
      </w:r>
      <w:proofErr w:type="gramEnd"/>
      <w:r w:rsidRPr="00606927">
        <w:rPr>
          <w:rFonts w:asciiTheme="minorHAnsi" w:eastAsiaTheme="minorEastAsia" w:hAnsiTheme="minorHAnsi" w:cs="Times New Roman" w:hint="eastAsia"/>
          <w:kern w:val="2"/>
          <w:sz w:val="18"/>
          <w:szCs w:val="18"/>
        </w:rPr>
        <w:t>政。</w:t>
      </w:r>
    </w:p>
    <w:p w:rsidR="00B818D2" w:rsidRPr="00606927" w:rsidRDefault="00B818D2" w:rsidP="00B818D2">
      <w:pPr>
        <w:widowControl/>
        <w:numPr>
          <w:ilvl w:val="0"/>
          <w:numId w:val="7"/>
        </w:numPr>
        <w:spacing w:before="100" w:beforeAutospacing="1" w:after="100" w:afterAutospacing="1"/>
        <w:divId w:val="1406106886"/>
        <w:rPr>
          <w:rStyle w:val="a4"/>
        </w:rPr>
      </w:pPr>
      <w:r w:rsidRPr="00606927">
        <w:rPr>
          <w:rStyle w:val="a4"/>
          <w:rFonts w:hint="eastAsia"/>
          <w:sz w:val="18"/>
          <w:szCs w:val="18"/>
        </w:rPr>
        <w:t> </w:t>
      </w:r>
      <w:r w:rsidRPr="00606927">
        <w:rPr>
          <w:rStyle w:val="a4"/>
          <w:rFonts w:hint="eastAsia"/>
          <w:sz w:val="18"/>
          <w:szCs w:val="18"/>
        </w:rPr>
        <w:t>公司</w:t>
      </w:r>
      <w:r>
        <w:rPr>
          <w:rStyle w:val="a4"/>
          <w:rFonts w:hint="eastAsia"/>
          <w:sz w:val="18"/>
          <w:szCs w:val="18"/>
        </w:rPr>
        <w:t>的业务性质和主要经营活动</w:t>
      </w:r>
    </w:p>
    <w:p w:rsidR="008D4B2E" w:rsidRPr="00606927" w:rsidRDefault="008D4B2E" w:rsidP="00B818D2">
      <w:pPr>
        <w:pStyle w:val="a3"/>
        <w:spacing w:before="0" w:beforeAutospacing="0" w:after="0" w:afterAutospacing="0"/>
        <w:ind w:firstLine="380"/>
        <w:jc w:val="both"/>
        <w:divId w:val="1406106886"/>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本公司属专用设备制造业。</w:t>
      </w:r>
    </w:p>
    <w:p w:rsidR="008D4B2E" w:rsidRPr="00606927" w:rsidRDefault="008D4B2E" w:rsidP="00B818D2">
      <w:pPr>
        <w:pStyle w:val="a3"/>
        <w:spacing w:before="0" w:beforeAutospacing="0" w:after="0" w:afterAutospacing="0"/>
        <w:ind w:firstLine="380"/>
        <w:jc w:val="both"/>
        <w:divId w:val="1406106886"/>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经营范围：</w:t>
      </w:r>
      <w:r w:rsidRPr="00606927">
        <w:rPr>
          <w:rFonts w:asciiTheme="minorHAnsi" w:eastAsiaTheme="minorEastAsia" w:hAnsiTheme="minorHAnsi" w:cs="Times New Roman"/>
          <w:kern w:val="2"/>
          <w:sz w:val="18"/>
          <w:szCs w:val="18"/>
        </w:rPr>
        <w:t xml:space="preserve"> </w:t>
      </w:r>
      <w:r w:rsidRPr="00606927">
        <w:rPr>
          <w:rFonts w:asciiTheme="minorHAnsi" w:eastAsiaTheme="minorEastAsia" w:hAnsiTheme="minorHAnsi" w:cs="Times New Roman" w:hint="eastAsia"/>
          <w:kern w:val="2"/>
          <w:sz w:val="18"/>
          <w:szCs w:val="18"/>
        </w:rPr>
        <w:t>机械设备、模具、计算机软硬件、大规模集成电路、自动化系统、网络及监控工程设计、开发、生产、销售、安装、调试、维护；信息化系统的集成、销售、安装、调试、维护；以上业务的技术服务、咨询及培训；自营和代理各类商品和技术的进出口（国家限定公司经营或禁止进出口的商品和技术除外）。（依法须经批准的项目，经相关部门批准后方可开展经营活动）。</w:t>
      </w:r>
    </w:p>
    <w:p w:rsidR="008D4B2E" w:rsidRDefault="008D4B2E" w:rsidP="00B818D2">
      <w:pPr>
        <w:pStyle w:val="a3"/>
        <w:spacing w:before="0" w:beforeAutospacing="0" w:after="0" w:afterAutospacing="0"/>
        <w:ind w:firstLine="380"/>
        <w:jc w:val="both"/>
        <w:divId w:val="1406106886"/>
        <w:rPr>
          <w:rFonts w:ascii="Arial" w:hAnsi="Arial" w:cs="Arial"/>
          <w:sz w:val="18"/>
          <w:szCs w:val="18"/>
        </w:rPr>
      </w:pPr>
      <w:r w:rsidRPr="00606927">
        <w:rPr>
          <w:rFonts w:asciiTheme="minorHAnsi" w:eastAsiaTheme="minorEastAsia" w:hAnsiTheme="minorHAnsi" w:cs="Times New Roman" w:hint="eastAsia"/>
          <w:kern w:val="2"/>
          <w:sz w:val="18"/>
          <w:szCs w:val="18"/>
        </w:rPr>
        <w:t>公司主要产品或提供的劳务：密炼机上辅机系统、小料配料称量系统、轮胎企业管控网络、炼胶系统、内衬层、裁断机、成型机、硫化机、模具、动平衡试验机系统、均匀性试验机、自动化物流系统、工业机器人、粉料输送线、溶剂输送线、浆料输送线、搅拌机、高速</w:t>
      </w:r>
      <w:proofErr w:type="gramStart"/>
      <w:r w:rsidRPr="00606927">
        <w:rPr>
          <w:rFonts w:asciiTheme="minorHAnsi" w:eastAsiaTheme="minorEastAsia" w:hAnsiTheme="minorHAnsi" w:cs="Times New Roman" w:hint="eastAsia"/>
          <w:kern w:val="2"/>
          <w:sz w:val="18"/>
          <w:szCs w:val="18"/>
        </w:rPr>
        <w:t>分散机</w:t>
      </w:r>
      <w:proofErr w:type="gramEnd"/>
      <w:r w:rsidRPr="00606927">
        <w:rPr>
          <w:rFonts w:asciiTheme="minorHAnsi" w:eastAsiaTheme="minorEastAsia" w:hAnsiTheme="minorHAnsi" w:cs="Times New Roman" w:hint="eastAsia"/>
          <w:kern w:val="2"/>
          <w:sz w:val="18"/>
          <w:szCs w:val="18"/>
        </w:rPr>
        <w:t>等软件产品和相关硬件的配套生产和销售、橡胶新材料的研发、生产和销售</w:t>
      </w:r>
      <w:r>
        <w:rPr>
          <w:rFonts w:cs="Arial" w:hint="eastAsia"/>
          <w:sz w:val="18"/>
          <w:szCs w:val="18"/>
        </w:rPr>
        <w:t>。</w:t>
      </w:r>
    </w:p>
    <w:p w:rsidR="008D4B2E" w:rsidRPr="00606927" w:rsidRDefault="008D4B2E" w:rsidP="00B818D2">
      <w:pPr>
        <w:widowControl/>
        <w:numPr>
          <w:ilvl w:val="0"/>
          <w:numId w:val="9"/>
        </w:numPr>
        <w:spacing w:before="100" w:beforeAutospacing="1" w:after="100" w:afterAutospacing="1"/>
        <w:divId w:val="1406106886"/>
        <w:rPr>
          <w:rStyle w:val="a4"/>
        </w:rPr>
      </w:pPr>
      <w:r w:rsidRPr="00606927">
        <w:rPr>
          <w:rStyle w:val="a4"/>
          <w:rFonts w:hint="eastAsia"/>
        </w:rPr>
        <w:t xml:space="preserve">  </w:t>
      </w:r>
      <w:r w:rsidRPr="00606927">
        <w:rPr>
          <w:rStyle w:val="a4"/>
          <w:rFonts w:hint="eastAsia"/>
          <w:sz w:val="18"/>
          <w:szCs w:val="18"/>
        </w:rPr>
        <w:t>财务报告的批准报出</w:t>
      </w:r>
    </w:p>
    <w:p w:rsidR="008D4B2E" w:rsidRPr="00606927" w:rsidRDefault="008D4B2E" w:rsidP="00B818D2">
      <w:pPr>
        <w:pStyle w:val="a3"/>
        <w:spacing w:before="0" w:beforeAutospacing="0" w:after="0" w:afterAutospacing="0"/>
        <w:ind w:left="426"/>
        <w:jc w:val="both"/>
        <w:textAlignment w:val="baseline"/>
        <w:divId w:val="1406106886"/>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本财务报表已经本公司董事会于</w:t>
      </w:r>
      <w:r w:rsidRPr="00606927">
        <w:rPr>
          <w:rFonts w:asciiTheme="minorHAnsi" w:eastAsiaTheme="minorEastAsia" w:hAnsiTheme="minorHAnsi" w:cs="Times New Roman"/>
          <w:kern w:val="2"/>
          <w:sz w:val="18"/>
          <w:szCs w:val="18"/>
        </w:rPr>
        <w:t>2024</w:t>
      </w:r>
      <w:r w:rsidRPr="00606927">
        <w:rPr>
          <w:rFonts w:asciiTheme="minorHAnsi" w:eastAsiaTheme="minorEastAsia" w:hAnsiTheme="minorHAnsi" w:cs="Times New Roman" w:hint="eastAsia"/>
          <w:kern w:val="2"/>
          <w:sz w:val="18"/>
          <w:szCs w:val="18"/>
        </w:rPr>
        <w:t>年</w:t>
      </w:r>
      <w:r w:rsidRPr="00606927">
        <w:rPr>
          <w:rFonts w:asciiTheme="minorHAnsi" w:eastAsiaTheme="minorEastAsia" w:hAnsiTheme="minorHAnsi" w:cs="Times New Roman"/>
          <w:kern w:val="2"/>
          <w:sz w:val="18"/>
          <w:szCs w:val="18"/>
        </w:rPr>
        <w:t>4</w:t>
      </w:r>
      <w:r w:rsidRPr="00606927">
        <w:rPr>
          <w:rFonts w:asciiTheme="minorHAnsi" w:eastAsiaTheme="minorEastAsia" w:hAnsiTheme="minorHAnsi" w:cs="Times New Roman" w:hint="eastAsia"/>
          <w:kern w:val="2"/>
          <w:sz w:val="18"/>
          <w:szCs w:val="18"/>
        </w:rPr>
        <w:t>月</w:t>
      </w:r>
      <w:r w:rsidRPr="00606927">
        <w:rPr>
          <w:rFonts w:asciiTheme="minorHAnsi" w:eastAsiaTheme="minorEastAsia" w:hAnsiTheme="minorHAnsi" w:cs="Times New Roman"/>
          <w:kern w:val="2"/>
          <w:sz w:val="18"/>
          <w:szCs w:val="18"/>
        </w:rPr>
        <w:t>1</w:t>
      </w:r>
      <w:r w:rsidRPr="00606927">
        <w:rPr>
          <w:rFonts w:asciiTheme="minorHAnsi" w:eastAsiaTheme="minorEastAsia" w:hAnsiTheme="minorHAnsi" w:cs="Times New Roman" w:hint="eastAsia"/>
          <w:kern w:val="2"/>
          <w:sz w:val="18"/>
          <w:szCs w:val="18"/>
        </w:rPr>
        <w:t>日决议批准报出。</w:t>
      </w:r>
    </w:p>
    <w:p w:rsidR="008D4B2E" w:rsidRPr="00606927" w:rsidRDefault="008D4B2E" w:rsidP="00B818D2">
      <w:pPr>
        <w:widowControl/>
        <w:numPr>
          <w:ilvl w:val="0"/>
          <w:numId w:val="10"/>
        </w:numPr>
        <w:spacing w:before="100" w:beforeAutospacing="1" w:after="100" w:afterAutospacing="1"/>
        <w:divId w:val="1406106886"/>
        <w:rPr>
          <w:rStyle w:val="a4"/>
        </w:rPr>
      </w:pPr>
      <w:r>
        <w:rPr>
          <w:rFonts w:cs="Arial" w:hint="eastAsia"/>
          <w:szCs w:val="21"/>
        </w:rPr>
        <w:t xml:space="preserve">  </w:t>
      </w:r>
      <w:r w:rsidRPr="00606927">
        <w:rPr>
          <w:rStyle w:val="a4"/>
          <w:rFonts w:hint="eastAsia"/>
          <w:sz w:val="18"/>
          <w:szCs w:val="18"/>
        </w:rPr>
        <w:t>合并报表范围</w:t>
      </w:r>
    </w:p>
    <w:p w:rsidR="008D4B2E" w:rsidRDefault="008D4B2E" w:rsidP="00606927">
      <w:pPr>
        <w:pStyle w:val="a3"/>
        <w:spacing w:before="0" w:beforeAutospacing="0" w:after="0" w:afterAutospacing="0" w:line="400" w:lineRule="atLeast"/>
        <w:ind w:firstLineChars="200" w:firstLine="360"/>
        <w:jc w:val="both"/>
        <w:divId w:val="1406106886"/>
        <w:rPr>
          <w:sz w:val="18"/>
          <w:szCs w:val="18"/>
        </w:rPr>
      </w:pPr>
      <w:r w:rsidRPr="00606927">
        <w:rPr>
          <w:rFonts w:hint="eastAsia"/>
          <w:sz w:val="18"/>
          <w:szCs w:val="18"/>
        </w:rPr>
        <w:t>截至</w:t>
      </w:r>
      <w:r w:rsidRPr="00606927">
        <w:rPr>
          <w:sz w:val="18"/>
          <w:szCs w:val="18"/>
        </w:rPr>
        <w:t>2023</w:t>
      </w:r>
      <w:r w:rsidRPr="00606927">
        <w:rPr>
          <w:rFonts w:hint="eastAsia"/>
          <w:sz w:val="18"/>
          <w:szCs w:val="18"/>
        </w:rPr>
        <w:t>年</w:t>
      </w:r>
      <w:r w:rsidRPr="00606927">
        <w:rPr>
          <w:sz w:val="18"/>
          <w:szCs w:val="18"/>
        </w:rPr>
        <w:t>12</w:t>
      </w:r>
      <w:r w:rsidRPr="00606927">
        <w:rPr>
          <w:rFonts w:hint="eastAsia"/>
          <w:sz w:val="18"/>
          <w:szCs w:val="18"/>
        </w:rPr>
        <w:t>月</w:t>
      </w:r>
      <w:r w:rsidRPr="00606927">
        <w:rPr>
          <w:sz w:val="18"/>
          <w:szCs w:val="18"/>
        </w:rPr>
        <w:t>31</w:t>
      </w:r>
      <w:r w:rsidRPr="00606927">
        <w:rPr>
          <w:rFonts w:hint="eastAsia"/>
          <w:sz w:val="18"/>
          <w:szCs w:val="18"/>
        </w:rPr>
        <w:t>日止，本公司合并财务报表范围内子公司如下：</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6"/>
        <w:gridCol w:w="4846"/>
        <w:gridCol w:w="2902"/>
      </w:tblGrid>
      <w:tr w:rsidR="008D4B2E" w:rsidTr="007E18D0">
        <w:trPr>
          <w:divId w:val="1406106886"/>
          <w:trHeight w:val="340"/>
        </w:trPr>
        <w:tc>
          <w:tcPr>
            <w:tcW w:w="1036" w:type="dxa"/>
            <w:shd w:val="clear" w:color="auto" w:fill="D3D3D3"/>
            <w:tcMar>
              <w:top w:w="0" w:type="dxa"/>
              <w:left w:w="108" w:type="dxa"/>
              <w:bottom w:w="0" w:type="dxa"/>
              <w:right w:w="108" w:type="dxa"/>
            </w:tcMar>
            <w:vAlign w:val="center"/>
            <w:hideMark/>
          </w:tcPr>
          <w:p w:rsidR="008D4B2E" w:rsidRPr="00B818D2" w:rsidRDefault="008D4B2E">
            <w:pPr>
              <w:pStyle w:val="a3"/>
              <w:spacing w:before="0" w:beforeAutospacing="0" w:after="0" w:afterAutospacing="0"/>
              <w:jc w:val="both"/>
              <w:rPr>
                <w:rFonts w:ascii="Arial" w:hAnsi="Arial" w:cs="Arial"/>
                <w:b/>
                <w:sz w:val="20"/>
                <w:szCs w:val="20"/>
              </w:rPr>
            </w:pPr>
            <w:r w:rsidRPr="00B818D2">
              <w:rPr>
                <w:rStyle w:val="a4"/>
                <w:rFonts w:cs="Arial" w:hint="eastAsia"/>
                <w:b w:val="0"/>
                <w:sz w:val="20"/>
                <w:szCs w:val="20"/>
              </w:rPr>
              <w:t>序号</w:t>
            </w:r>
          </w:p>
        </w:tc>
        <w:tc>
          <w:tcPr>
            <w:tcW w:w="4846" w:type="dxa"/>
            <w:shd w:val="clear" w:color="auto" w:fill="D3D3D3"/>
            <w:tcMar>
              <w:top w:w="0" w:type="dxa"/>
              <w:left w:w="108" w:type="dxa"/>
              <w:bottom w:w="0" w:type="dxa"/>
              <w:right w:w="108" w:type="dxa"/>
            </w:tcMar>
            <w:vAlign w:val="center"/>
            <w:hideMark/>
          </w:tcPr>
          <w:p w:rsidR="008D4B2E" w:rsidRPr="00B818D2" w:rsidRDefault="008D4B2E">
            <w:pPr>
              <w:pStyle w:val="a3"/>
              <w:spacing w:before="0" w:beforeAutospacing="0" w:after="0" w:afterAutospacing="0"/>
              <w:rPr>
                <w:rFonts w:ascii="Arial" w:hAnsi="Arial" w:cs="Arial"/>
                <w:b/>
                <w:sz w:val="20"/>
                <w:szCs w:val="20"/>
              </w:rPr>
            </w:pPr>
            <w:r w:rsidRPr="00B818D2">
              <w:rPr>
                <w:rStyle w:val="a4"/>
                <w:rFonts w:cs="Arial" w:hint="eastAsia"/>
                <w:b w:val="0"/>
                <w:sz w:val="20"/>
                <w:szCs w:val="20"/>
              </w:rPr>
              <w:t>单位名称</w:t>
            </w:r>
          </w:p>
        </w:tc>
        <w:tc>
          <w:tcPr>
            <w:tcW w:w="2902" w:type="dxa"/>
            <w:shd w:val="clear" w:color="auto" w:fill="D3D3D3"/>
            <w:tcMar>
              <w:top w:w="0" w:type="dxa"/>
              <w:left w:w="108" w:type="dxa"/>
              <w:bottom w:w="0" w:type="dxa"/>
              <w:right w:w="108" w:type="dxa"/>
            </w:tcMar>
            <w:vAlign w:val="center"/>
            <w:hideMark/>
          </w:tcPr>
          <w:p w:rsidR="008D4B2E" w:rsidRPr="00B818D2" w:rsidRDefault="008D4B2E">
            <w:pPr>
              <w:pStyle w:val="a3"/>
              <w:spacing w:before="0" w:beforeAutospacing="0" w:after="0" w:afterAutospacing="0"/>
              <w:rPr>
                <w:rFonts w:ascii="Arial" w:hAnsi="Arial" w:cs="Arial"/>
                <w:b/>
                <w:sz w:val="20"/>
                <w:szCs w:val="20"/>
              </w:rPr>
            </w:pPr>
            <w:r w:rsidRPr="00B818D2">
              <w:rPr>
                <w:rStyle w:val="a4"/>
                <w:rFonts w:cs="Arial" w:hint="eastAsia"/>
                <w:b w:val="0"/>
                <w:sz w:val="20"/>
                <w:szCs w:val="20"/>
              </w:rPr>
              <w:t>简称</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软控股份有限公司</w:t>
            </w:r>
            <w:proofErr w:type="gramEnd"/>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软控股份</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青岛软控机电工程</w:t>
            </w:r>
            <w:proofErr w:type="gramEnd"/>
            <w:r w:rsidRPr="00606927">
              <w:rPr>
                <w:rFonts w:asciiTheme="minorHAnsi" w:eastAsiaTheme="minorEastAsia" w:hAnsiTheme="minorHAnsi" w:cs="Times New Roman" w:hint="eastAsia"/>
                <w:kern w:val="2"/>
                <w:sz w:val="18"/>
                <w:szCs w:val="18"/>
              </w:rPr>
              <w:t>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软控机电</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北京敬业机械设备有限公司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敬业机械</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4</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天津敬业园机械设备有限公司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敬业园</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5</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北京敬业机电科技发展有限公司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敬业机电</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6</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大连软控机电有限公司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大连软控</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7</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w:t>
            </w:r>
            <w:proofErr w:type="gramStart"/>
            <w:r w:rsidRPr="00606927">
              <w:rPr>
                <w:rFonts w:asciiTheme="minorHAnsi" w:eastAsiaTheme="minorEastAsia" w:hAnsiTheme="minorHAnsi" w:cs="Times New Roman" w:hint="eastAsia"/>
                <w:kern w:val="2"/>
                <w:sz w:val="18"/>
                <w:szCs w:val="18"/>
              </w:rPr>
              <w:t>优享供应</w:t>
            </w:r>
            <w:proofErr w:type="gramEnd"/>
            <w:r w:rsidRPr="00606927">
              <w:rPr>
                <w:rFonts w:asciiTheme="minorHAnsi" w:eastAsiaTheme="minorEastAsia" w:hAnsiTheme="minorHAnsi" w:cs="Times New Roman" w:hint="eastAsia"/>
                <w:kern w:val="2"/>
                <w:sz w:val="18"/>
                <w:szCs w:val="18"/>
              </w:rPr>
              <w:t>链有限公司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优享供应</w:t>
            </w:r>
            <w:proofErr w:type="gramEnd"/>
            <w:r w:rsidRPr="00606927">
              <w:rPr>
                <w:rFonts w:asciiTheme="minorHAnsi" w:eastAsiaTheme="minorEastAsia" w:hAnsiTheme="minorHAnsi" w:cs="Times New Roman" w:hint="eastAsia"/>
                <w:kern w:val="2"/>
                <w:sz w:val="18"/>
                <w:szCs w:val="18"/>
              </w:rPr>
              <w:t>链</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8</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青岛软控计量检测技术有限公司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计量检测</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9</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青岛海威物联科技有限公司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海</w:t>
            </w:r>
            <w:proofErr w:type="gramStart"/>
            <w:r w:rsidRPr="00606927">
              <w:rPr>
                <w:rFonts w:asciiTheme="minorHAnsi" w:eastAsiaTheme="minorEastAsia" w:hAnsiTheme="minorHAnsi" w:cs="Times New Roman" w:hint="eastAsia"/>
                <w:kern w:val="2"/>
                <w:sz w:val="18"/>
                <w:szCs w:val="18"/>
              </w:rPr>
              <w:t>威物联</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10</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青岛软控海科科技有限公司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海科科技</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11</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软控联合</w:t>
            </w:r>
            <w:proofErr w:type="gramEnd"/>
            <w:r w:rsidRPr="00606927">
              <w:rPr>
                <w:rFonts w:asciiTheme="minorHAnsi" w:eastAsiaTheme="minorEastAsia" w:hAnsiTheme="minorHAnsi" w:cs="Times New Roman" w:hint="eastAsia"/>
                <w:kern w:val="2"/>
                <w:sz w:val="18"/>
                <w:szCs w:val="18"/>
              </w:rPr>
              <w:t>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联合科技</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12</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青岛科捷自动化设备有限公司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科捷自动化</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13</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深圳市众源达</w:t>
            </w:r>
            <w:proofErr w:type="gramEnd"/>
            <w:r w:rsidRPr="00606927">
              <w:rPr>
                <w:rFonts w:asciiTheme="minorHAnsi" w:eastAsiaTheme="minorEastAsia" w:hAnsiTheme="minorHAnsi" w:cs="Times New Roman" w:hint="eastAsia"/>
                <w:kern w:val="2"/>
                <w:sz w:val="18"/>
                <w:szCs w:val="18"/>
              </w:rPr>
              <w:t>智能装备有限公司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深圳众源达</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14</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艾优信</w:t>
            </w:r>
            <w:proofErr w:type="gramEnd"/>
            <w:r w:rsidRPr="00606927">
              <w:rPr>
                <w:rFonts w:asciiTheme="minorHAnsi" w:eastAsiaTheme="minorEastAsia" w:hAnsiTheme="minorHAnsi" w:cs="Times New Roman" w:hint="eastAsia"/>
                <w:kern w:val="2"/>
                <w:sz w:val="18"/>
                <w:szCs w:val="18"/>
              </w:rPr>
              <w:t>（山东）计量检测有限公司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艾优信</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15</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青岛华控能源科技有限公司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华控能源</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lastRenderedPageBreak/>
              <w:t>16</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青岛朗控清洁能源有限公司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朗控清洁</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17</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青岛睿诚新能源有限公司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w:t>
            </w:r>
            <w:proofErr w:type="gramStart"/>
            <w:r w:rsidRPr="00606927">
              <w:rPr>
                <w:rFonts w:asciiTheme="minorHAnsi" w:eastAsiaTheme="minorEastAsia" w:hAnsiTheme="minorHAnsi" w:cs="Times New Roman" w:hint="eastAsia"/>
                <w:kern w:val="2"/>
                <w:sz w:val="18"/>
                <w:szCs w:val="18"/>
              </w:rPr>
              <w:t>睿</w:t>
            </w:r>
            <w:proofErr w:type="gramEnd"/>
            <w:r w:rsidRPr="00606927">
              <w:rPr>
                <w:rFonts w:asciiTheme="minorHAnsi" w:eastAsiaTheme="minorEastAsia" w:hAnsiTheme="minorHAnsi" w:cs="Times New Roman" w:hint="eastAsia"/>
                <w:kern w:val="2"/>
                <w:sz w:val="18"/>
                <w:szCs w:val="18"/>
              </w:rPr>
              <w:t>诚</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18</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青岛优尼斯通国际贸易有限公司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优尼斯通</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19</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青岛智控零碳科技有限公司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智控零碳</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20</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菏泽智控能源</w:t>
            </w:r>
            <w:proofErr w:type="gramEnd"/>
            <w:r w:rsidRPr="00606927">
              <w:rPr>
                <w:rFonts w:asciiTheme="minorHAnsi" w:eastAsiaTheme="minorEastAsia" w:hAnsiTheme="minorHAnsi" w:cs="Times New Roman" w:hint="eastAsia"/>
                <w:kern w:val="2"/>
                <w:sz w:val="18"/>
                <w:szCs w:val="18"/>
              </w:rPr>
              <w:t>发展有限公司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菏泽智控</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21</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bookmarkStart w:id="161" w:name="_Hlk131853367"/>
            <w:bookmarkEnd w:id="161"/>
            <w:r w:rsidRPr="00606927">
              <w:rPr>
                <w:rFonts w:asciiTheme="minorHAnsi" w:eastAsiaTheme="minorEastAsia" w:hAnsiTheme="minorHAnsi" w:cs="Times New Roman" w:hint="eastAsia"/>
                <w:kern w:val="2"/>
                <w:sz w:val="18"/>
                <w:szCs w:val="18"/>
              </w:rPr>
              <w:t>青岛华控赛联新能源科技有限公司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华控赛</w:t>
            </w:r>
            <w:proofErr w:type="gramEnd"/>
            <w:r w:rsidRPr="00606927">
              <w:rPr>
                <w:rFonts w:asciiTheme="minorHAnsi" w:eastAsiaTheme="minorEastAsia" w:hAnsiTheme="minorHAnsi" w:cs="Times New Roman" w:hint="eastAsia"/>
                <w:kern w:val="2"/>
                <w:sz w:val="18"/>
                <w:szCs w:val="18"/>
              </w:rPr>
              <w:t>联</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22</w:t>
            </w:r>
          </w:p>
        </w:tc>
        <w:tc>
          <w:tcPr>
            <w:tcW w:w="4846" w:type="dxa"/>
            <w:noWrap/>
            <w:tcMar>
              <w:top w:w="0" w:type="dxa"/>
              <w:left w:w="108" w:type="dxa"/>
              <w:bottom w:w="0" w:type="dxa"/>
              <w:right w:w="108" w:type="dxa"/>
            </w:tcMar>
            <w:vAlign w:val="center"/>
            <w:hideMark/>
          </w:tcPr>
          <w:p w:rsidR="008D4B2E" w:rsidRPr="00606927" w:rsidRDefault="00614C8D">
            <w:pPr>
              <w:pStyle w:val="a3"/>
              <w:spacing w:before="0" w:beforeAutospacing="0" w:after="0" w:afterAutospacing="0"/>
              <w:rPr>
                <w:rFonts w:asciiTheme="minorHAnsi" w:eastAsiaTheme="minorEastAsia" w:hAnsiTheme="minorHAnsi" w:cs="Times New Roman"/>
                <w:kern w:val="2"/>
                <w:sz w:val="18"/>
                <w:szCs w:val="18"/>
              </w:rPr>
            </w:pPr>
            <w:r w:rsidRPr="00614C8D">
              <w:rPr>
                <w:rFonts w:asciiTheme="minorHAnsi" w:eastAsiaTheme="minorEastAsia" w:hAnsiTheme="minorHAnsi" w:cs="Times New Roman"/>
                <w:kern w:val="2"/>
                <w:sz w:val="18"/>
                <w:szCs w:val="18"/>
              </w:rPr>
              <w:t>HKZQ ENERGY AND TECHNOLOGY CO., LTD.</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华中能源</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23</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德州智控新能源</w:t>
            </w:r>
            <w:proofErr w:type="gramEnd"/>
            <w:r w:rsidRPr="00606927">
              <w:rPr>
                <w:rFonts w:asciiTheme="minorHAnsi" w:eastAsiaTheme="minorEastAsia" w:hAnsiTheme="minorHAnsi" w:cs="Times New Roman" w:hint="eastAsia"/>
                <w:kern w:val="2"/>
                <w:sz w:val="18"/>
                <w:szCs w:val="18"/>
              </w:rPr>
              <w:t>发展有限公司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德州智控</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24</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抚顺伊科思新材料有限公司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抚顺伊科思</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25</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盘锦伊科思新材料有限公司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盘锦伊科思</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26</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益</w:t>
            </w:r>
            <w:proofErr w:type="gramStart"/>
            <w:r w:rsidRPr="00606927">
              <w:rPr>
                <w:rFonts w:asciiTheme="minorHAnsi" w:eastAsiaTheme="minorEastAsia" w:hAnsiTheme="minorHAnsi" w:cs="Times New Roman" w:hint="eastAsia"/>
                <w:kern w:val="2"/>
                <w:sz w:val="18"/>
                <w:szCs w:val="18"/>
              </w:rPr>
              <w:t>凯</w:t>
            </w:r>
            <w:proofErr w:type="gramEnd"/>
            <w:r w:rsidRPr="00606927">
              <w:rPr>
                <w:rFonts w:asciiTheme="minorHAnsi" w:eastAsiaTheme="minorEastAsia" w:hAnsiTheme="minorHAnsi" w:cs="Times New Roman" w:hint="eastAsia"/>
                <w:kern w:val="2"/>
                <w:sz w:val="18"/>
                <w:szCs w:val="18"/>
              </w:rPr>
              <w:t>新材料有限公司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益</w:t>
            </w:r>
            <w:proofErr w:type="gramStart"/>
            <w:r w:rsidRPr="00606927">
              <w:rPr>
                <w:rFonts w:asciiTheme="minorHAnsi" w:eastAsiaTheme="minorEastAsia" w:hAnsiTheme="minorHAnsi" w:cs="Times New Roman" w:hint="eastAsia"/>
                <w:kern w:val="2"/>
                <w:sz w:val="18"/>
                <w:szCs w:val="18"/>
              </w:rPr>
              <w:t>凯</w:t>
            </w:r>
            <w:proofErr w:type="gramEnd"/>
            <w:r w:rsidRPr="00606927">
              <w:rPr>
                <w:rFonts w:asciiTheme="minorHAnsi" w:eastAsiaTheme="minorEastAsia" w:hAnsiTheme="minorHAnsi" w:cs="Times New Roman" w:hint="eastAsia"/>
                <w:kern w:val="2"/>
                <w:sz w:val="18"/>
                <w:szCs w:val="18"/>
              </w:rPr>
              <w:t>新材料</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27</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软控（诸暨）智能装备有限公司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软控诸暨</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28</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浙江软控智能科技股份有限公司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软控科技</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29</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青岛云纵智能科技有限公司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青岛云纵</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30</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浙江叁晟信息科技有限公司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浙江叁</w:t>
            </w:r>
            <w:proofErr w:type="gramStart"/>
            <w:r w:rsidRPr="00606927">
              <w:rPr>
                <w:rFonts w:asciiTheme="minorHAnsi" w:eastAsiaTheme="minorEastAsia" w:hAnsiTheme="minorHAnsi" w:cs="Times New Roman" w:hint="eastAsia"/>
                <w:kern w:val="2"/>
                <w:sz w:val="18"/>
                <w:szCs w:val="18"/>
              </w:rPr>
              <w:t>晟</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31</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软控欧洲</w:t>
            </w:r>
            <w:proofErr w:type="gramEnd"/>
            <w:r w:rsidRPr="00606927">
              <w:rPr>
                <w:rFonts w:asciiTheme="minorHAnsi" w:eastAsiaTheme="minorEastAsia" w:hAnsiTheme="minorHAnsi" w:cs="Times New Roman" w:hint="eastAsia"/>
                <w:kern w:val="2"/>
                <w:sz w:val="18"/>
                <w:szCs w:val="18"/>
              </w:rPr>
              <w:t>研发和技术中心有限责任公司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proofErr w:type="gramStart"/>
            <w:r w:rsidRPr="00606927">
              <w:rPr>
                <w:rFonts w:asciiTheme="minorHAnsi" w:eastAsiaTheme="minorEastAsia" w:hAnsiTheme="minorHAnsi" w:cs="Times New Roman" w:hint="eastAsia"/>
                <w:kern w:val="2"/>
                <w:sz w:val="18"/>
                <w:szCs w:val="18"/>
              </w:rPr>
              <w:t>软控欧研</w:t>
            </w:r>
            <w:proofErr w:type="gramEnd"/>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32</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软控（美洲）有限公司</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hint="eastAsia"/>
                <w:kern w:val="2"/>
                <w:sz w:val="18"/>
                <w:szCs w:val="18"/>
              </w:rPr>
              <w:t>软控（美洲）</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33</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kern w:val="2"/>
                <w:sz w:val="18"/>
                <w:szCs w:val="18"/>
              </w:rPr>
              <w:t>WYKO TireTechnology(UK) Ltd.</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kern w:val="2"/>
                <w:sz w:val="18"/>
                <w:szCs w:val="18"/>
              </w:rPr>
              <w:t>WYKO</w:t>
            </w:r>
          </w:p>
        </w:tc>
      </w:tr>
      <w:tr w:rsidR="008D4B2E" w:rsidTr="007E18D0">
        <w:trPr>
          <w:divId w:val="1406106886"/>
          <w:trHeight w:val="340"/>
        </w:trPr>
        <w:tc>
          <w:tcPr>
            <w:tcW w:w="1036" w:type="dxa"/>
            <w:shd w:val="clear" w:color="auto" w:fill="D3D3D3"/>
            <w:noWrap/>
            <w:tcMar>
              <w:top w:w="0" w:type="dxa"/>
              <w:left w:w="108" w:type="dxa"/>
              <w:bottom w:w="0" w:type="dxa"/>
              <w:right w:w="108" w:type="dxa"/>
            </w:tcMar>
            <w:vAlign w:val="center"/>
            <w:hideMark/>
          </w:tcPr>
          <w:p w:rsidR="008D4B2E" w:rsidRDefault="008D4B2E">
            <w:pPr>
              <w:pStyle w:val="a3"/>
              <w:spacing w:before="0" w:beforeAutospacing="0" w:after="0" w:afterAutospacing="0"/>
              <w:rPr>
                <w:rFonts w:ascii="Arial" w:hAnsi="Arial" w:cs="Arial"/>
                <w:sz w:val="20"/>
                <w:szCs w:val="20"/>
              </w:rPr>
            </w:pPr>
            <w:r>
              <w:rPr>
                <w:rFonts w:ascii="Arial" w:hAnsi="Arial" w:cs="Arial"/>
                <w:sz w:val="20"/>
                <w:szCs w:val="20"/>
              </w:rPr>
              <w:t>34</w:t>
            </w:r>
          </w:p>
        </w:tc>
        <w:tc>
          <w:tcPr>
            <w:tcW w:w="4846"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kern w:val="2"/>
                <w:sz w:val="18"/>
                <w:szCs w:val="18"/>
              </w:rPr>
              <w:t>DavianEnterprises LLC</w:t>
            </w:r>
          </w:p>
        </w:tc>
        <w:tc>
          <w:tcPr>
            <w:tcW w:w="2902" w:type="dxa"/>
            <w:noWrap/>
            <w:tcMar>
              <w:top w:w="0" w:type="dxa"/>
              <w:left w:w="108" w:type="dxa"/>
              <w:bottom w:w="0" w:type="dxa"/>
              <w:right w:w="108" w:type="dxa"/>
            </w:tcMar>
            <w:vAlign w:val="center"/>
            <w:hideMark/>
          </w:tcPr>
          <w:p w:rsidR="008D4B2E" w:rsidRPr="00606927" w:rsidRDefault="008D4B2E">
            <w:pPr>
              <w:pStyle w:val="a3"/>
              <w:spacing w:before="0" w:beforeAutospacing="0" w:after="0" w:afterAutospacing="0"/>
              <w:rPr>
                <w:rFonts w:asciiTheme="minorHAnsi" w:eastAsiaTheme="minorEastAsia" w:hAnsiTheme="minorHAnsi" w:cs="Times New Roman"/>
                <w:kern w:val="2"/>
                <w:sz w:val="18"/>
                <w:szCs w:val="18"/>
              </w:rPr>
            </w:pPr>
            <w:r w:rsidRPr="00606927">
              <w:rPr>
                <w:rFonts w:asciiTheme="minorHAnsi" w:eastAsiaTheme="minorEastAsia" w:hAnsiTheme="minorHAnsi" w:cs="Times New Roman"/>
                <w:kern w:val="2"/>
                <w:sz w:val="18"/>
                <w:szCs w:val="18"/>
              </w:rPr>
              <w:t>Davian</w:t>
            </w:r>
          </w:p>
        </w:tc>
      </w:tr>
    </w:tbl>
    <w:p w:rsidR="008D4B2E" w:rsidRDefault="008D4B2E">
      <w:pPr>
        <w:pStyle w:val="a3"/>
        <w:spacing w:before="0" w:beforeAutospacing="0" w:after="0" w:afterAutospacing="0" w:line="400" w:lineRule="atLeast"/>
        <w:ind w:firstLine="400"/>
        <w:jc w:val="both"/>
        <w:divId w:val="1406106886"/>
        <w:rPr>
          <w:rFonts w:ascii="Arial" w:hAnsi="Arial" w:cs="Arial"/>
          <w:sz w:val="18"/>
          <w:szCs w:val="18"/>
        </w:rPr>
      </w:pPr>
      <w:r>
        <w:rPr>
          <w:rFonts w:cs="Arial" w:hint="eastAsia"/>
          <w:sz w:val="18"/>
          <w:szCs w:val="18"/>
        </w:rPr>
        <w:t>本期合并财务报表范围及其变化情况详见本附注</w:t>
      </w:r>
      <w:r>
        <w:rPr>
          <w:rFonts w:ascii="Arial" w:hAnsi="Arial" w:cs="Arial"/>
          <w:sz w:val="18"/>
          <w:szCs w:val="18"/>
        </w:rPr>
        <w:t>“</w:t>
      </w:r>
      <w:r>
        <w:rPr>
          <w:rFonts w:cs="Arial" w:hint="eastAsia"/>
          <w:sz w:val="18"/>
          <w:szCs w:val="18"/>
        </w:rPr>
        <w:t>合并范围的变更</w:t>
      </w:r>
      <w:r>
        <w:rPr>
          <w:rFonts w:ascii="Arial" w:hAnsi="Arial" w:cs="Arial"/>
          <w:sz w:val="18"/>
          <w:szCs w:val="18"/>
        </w:rPr>
        <w:t>”</w:t>
      </w:r>
      <w:r>
        <w:rPr>
          <w:rFonts w:cs="Arial" w:hint="eastAsia"/>
          <w:sz w:val="18"/>
          <w:szCs w:val="18"/>
        </w:rPr>
        <w:t>和</w:t>
      </w:r>
      <w:r>
        <w:rPr>
          <w:rFonts w:ascii="Arial" w:hAnsi="Arial" w:cs="Arial"/>
          <w:sz w:val="18"/>
          <w:szCs w:val="18"/>
        </w:rPr>
        <w:t>“</w:t>
      </w:r>
      <w:r>
        <w:rPr>
          <w:rFonts w:cs="Arial" w:hint="eastAsia"/>
          <w:sz w:val="18"/>
          <w:szCs w:val="18"/>
        </w:rPr>
        <w:t>在其他主体中的权益</w:t>
      </w:r>
      <w:r>
        <w:rPr>
          <w:rFonts w:ascii="Arial" w:hAnsi="Arial" w:cs="Arial"/>
          <w:sz w:val="18"/>
          <w:szCs w:val="18"/>
        </w:rPr>
        <w:t>”</w:t>
      </w:r>
      <w:r>
        <w:rPr>
          <w:rFonts w:cs="Arial" w:hint="eastAsia"/>
          <w:sz w:val="18"/>
          <w:szCs w:val="18"/>
        </w:rPr>
        <w:t>。</w:t>
      </w:r>
    </w:p>
    <w:p w:rsidR="00BA0365" w:rsidRDefault="008D4B2E" w:rsidP="00B818D2">
      <w:pPr>
        <w:pStyle w:val="2"/>
        <w:spacing w:before="300" w:after="300"/>
        <w:rPr>
          <w:rFonts w:ascii="宋体" w:eastAsia="宋体" w:hAnsi="宋体" w:cs="宋体"/>
          <w:b/>
          <w:bCs/>
          <w:sz w:val="24"/>
          <w:szCs w:val="24"/>
        </w:rPr>
      </w:pPr>
      <w:bookmarkStart w:id="162" w:name="_Toc989050"/>
      <w:r>
        <w:rPr>
          <w:rFonts w:ascii="宋体" w:eastAsia="宋体" w:hAnsi="宋体" w:cs="宋体"/>
          <w:b/>
          <w:bCs/>
          <w:sz w:val="24"/>
          <w:szCs w:val="24"/>
        </w:rPr>
        <w:t>四、财务报表的编制基础</w:t>
      </w:r>
      <w:bookmarkEnd w:id="162"/>
    </w:p>
    <w:p w:rsidR="00BA0365" w:rsidRDefault="008D4B2E" w:rsidP="00B818D2">
      <w:pPr>
        <w:pStyle w:val="3"/>
        <w:spacing w:line="240" w:lineRule="auto"/>
        <w:jc w:val="left"/>
        <w:rPr>
          <w:rFonts w:ascii="宋体" w:hAnsi="宋体" w:cs="宋体"/>
          <w:b/>
          <w:bCs/>
        </w:rPr>
      </w:pPr>
      <w:bookmarkStart w:id="163" w:name="_Toc989051"/>
      <w:r>
        <w:rPr>
          <w:rFonts w:ascii="宋体" w:hAnsi="宋体" w:cs="宋体"/>
          <w:b/>
          <w:bCs/>
        </w:rPr>
        <w:t>1、编制基础</w:t>
      </w:r>
      <w:bookmarkEnd w:id="163"/>
    </w:p>
    <w:p w:rsidR="008D4B2E" w:rsidRPr="00606927" w:rsidRDefault="008D4B2E" w:rsidP="00B818D2">
      <w:pPr>
        <w:pStyle w:val="a3"/>
        <w:spacing w:before="0" w:beforeAutospacing="0" w:after="0" w:afterAutospacing="0"/>
        <w:ind w:firstLineChars="200" w:firstLine="360"/>
        <w:jc w:val="both"/>
        <w:divId w:val="2042970184"/>
        <w:rPr>
          <w:sz w:val="18"/>
          <w:szCs w:val="18"/>
        </w:rPr>
      </w:pPr>
      <w:r w:rsidRPr="00606927">
        <w:rPr>
          <w:rFonts w:hint="eastAsia"/>
          <w:sz w:val="18"/>
          <w:szCs w:val="18"/>
        </w:rPr>
        <w:t>本公司财务报表以持续经营假设为基础，根据实际发生的交易和事项，按照财政部发布的《企业会计准则</w:t>
      </w:r>
      <w:r w:rsidRPr="00606927">
        <w:rPr>
          <w:sz w:val="18"/>
          <w:szCs w:val="18"/>
        </w:rPr>
        <w:t>——</w:t>
      </w:r>
      <w:r w:rsidRPr="00606927">
        <w:rPr>
          <w:rFonts w:hint="eastAsia"/>
          <w:sz w:val="18"/>
          <w:szCs w:val="18"/>
        </w:rPr>
        <w:t>基本准则》（财政部令第</w:t>
      </w:r>
      <w:r w:rsidRPr="00606927">
        <w:rPr>
          <w:sz w:val="18"/>
          <w:szCs w:val="18"/>
        </w:rPr>
        <w:t>33</w:t>
      </w:r>
      <w:r w:rsidRPr="00606927">
        <w:rPr>
          <w:rFonts w:hint="eastAsia"/>
          <w:sz w:val="18"/>
          <w:szCs w:val="18"/>
        </w:rPr>
        <w:t>号发布、财政部令第</w:t>
      </w:r>
      <w:r w:rsidRPr="00606927">
        <w:rPr>
          <w:sz w:val="18"/>
          <w:szCs w:val="18"/>
        </w:rPr>
        <w:t>76</w:t>
      </w:r>
      <w:r w:rsidRPr="00606927">
        <w:rPr>
          <w:rFonts w:hint="eastAsia"/>
          <w:sz w:val="18"/>
          <w:szCs w:val="18"/>
        </w:rPr>
        <w:t>号修订）、于</w:t>
      </w:r>
      <w:r w:rsidRPr="00606927">
        <w:rPr>
          <w:sz w:val="18"/>
          <w:szCs w:val="18"/>
        </w:rPr>
        <w:t>2006</w:t>
      </w:r>
      <w:r w:rsidRPr="00606927">
        <w:rPr>
          <w:rFonts w:hint="eastAsia"/>
          <w:sz w:val="18"/>
          <w:szCs w:val="18"/>
        </w:rPr>
        <w:t>年</w:t>
      </w:r>
      <w:r w:rsidRPr="00606927">
        <w:rPr>
          <w:sz w:val="18"/>
          <w:szCs w:val="18"/>
        </w:rPr>
        <w:t>2</w:t>
      </w:r>
      <w:r w:rsidRPr="00606927">
        <w:rPr>
          <w:rFonts w:hint="eastAsia"/>
          <w:sz w:val="18"/>
          <w:szCs w:val="18"/>
        </w:rPr>
        <w:t>月</w:t>
      </w:r>
      <w:r w:rsidRPr="00606927">
        <w:rPr>
          <w:sz w:val="18"/>
          <w:szCs w:val="18"/>
        </w:rPr>
        <w:t>15</w:t>
      </w:r>
      <w:r w:rsidRPr="00606927">
        <w:rPr>
          <w:rFonts w:hint="eastAsia"/>
          <w:sz w:val="18"/>
          <w:szCs w:val="18"/>
        </w:rPr>
        <w:t>日及其后颁布和修订的</w:t>
      </w:r>
      <w:r w:rsidRPr="00606927">
        <w:rPr>
          <w:sz w:val="18"/>
          <w:szCs w:val="18"/>
        </w:rPr>
        <w:t>42</w:t>
      </w:r>
      <w:r w:rsidRPr="00606927">
        <w:rPr>
          <w:rFonts w:hint="eastAsia"/>
          <w:sz w:val="18"/>
          <w:szCs w:val="18"/>
        </w:rPr>
        <w:t>项具体会计准则、企业会计准则应用指南、企业会计准则解释及其他相关规定（以下合称</w:t>
      </w:r>
      <w:r w:rsidRPr="00606927">
        <w:rPr>
          <w:sz w:val="18"/>
          <w:szCs w:val="18"/>
        </w:rPr>
        <w:t>“</w:t>
      </w:r>
      <w:r w:rsidRPr="00606927">
        <w:rPr>
          <w:rFonts w:hint="eastAsia"/>
          <w:sz w:val="18"/>
          <w:szCs w:val="18"/>
        </w:rPr>
        <w:t>企业会计准则</w:t>
      </w:r>
      <w:r w:rsidRPr="00606927">
        <w:rPr>
          <w:sz w:val="18"/>
          <w:szCs w:val="18"/>
        </w:rPr>
        <w:t>”</w:t>
      </w:r>
      <w:r w:rsidRPr="00606927">
        <w:rPr>
          <w:rFonts w:hint="eastAsia"/>
          <w:sz w:val="18"/>
          <w:szCs w:val="18"/>
        </w:rPr>
        <w:t>），以及中国证券监督管理委员会《公开发行证券的公司信息披露编报规则第</w:t>
      </w:r>
      <w:r w:rsidRPr="00606927">
        <w:rPr>
          <w:sz w:val="18"/>
          <w:szCs w:val="18"/>
        </w:rPr>
        <w:t>15</w:t>
      </w:r>
      <w:r w:rsidRPr="00606927">
        <w:rPr>
          <w:rFonts w:hint="eastAsia"/>
          <w:sz w:val="18"/>
          <w:szCs w:val="18"/>
        </w:rPr>
        <w:t>号</w:t>
      </w:r>
      <w:r w:rsidRPr="00606927">
        <w:rPr>
          <w:sz w:val="18"/>
          <w:szCs w:val="18"/>
        </w:rPr>
        <w:t>——</w:t>
      </w:r>
      <w:r w:rsidRPr="00606927">
        <w:rPr>
          <w:rFonts w:hint="eastAsia"/>
          <w:sz w:val="18"/>
          <w:szCs w:val="18"/>
        </w:rPr>
        <w:t>财务报告的一般规定》（</w:t>
      </w:r>
      <w:r w:rsidRPr="00606927">
        <w:rPr>
          <w:sz w:val="18"/>
          <w:szCs w:val="18"/>
        </w:rPr>
        <w:t>2023</w:t>
      </w:r>
      <w:r w:rsidRPr="00606927">
        <w:rPr>
          <w:rFonts w:hint="eastAsia"/>
          <w:sz w:val="18"/>
          <w:szCs w:val="18"/>
        </w:rPr>
        <w:t>年修订）的披露规定编制。</w:t>
      </w:r>
    </w:p>
    <w:p w:rsidR="008D4B2E" w:rsidRPr="00606927" w:rsidRDefault="008D4B2E" w:rsidP="00B818D2">
      <w:pPr>
        <w:pStyle w:val="a3"/>
        <w:spacing w:before="0" w:beforeAutospacing="0" w:after="0" w:afterAutospacing="0"/>
        <w:ind w:firstLineChars="200" w:firstLine="360"/>
        <w:jc w:val="both"/>
        <w:divId w:val="2042970184"/>
        <w:rPr>
          <w:sz w:val="18"/>
          <w:szCs w:val="18"/>
        </w:rPr>
      </w:pPr>
      <w:r w:rsidRPr="00606927">
        <w:rPr>
          <w:rFonts w:hint="eastAsia"/>
          <w:sz w:val="18"/>
          <w:szCs w:val="18"/>
        </w:rPr>
        <w:t>根据企业会计准则的相关规定，本公司会计核算以权责发生制为基础。除某些金融工具外，本财务报表均以历史成本为计量基础。持有待售的非流动资产，按公允价值减去预计费用后的金额，以及符合持有待售条件时的原账面价值，取两者孰低计价。资产如果发生减值，则按照相关规定计提相应的减值准备。</w:t>
      </w:r>
    </w:p>
    <w:p w:rsidR="00BA0365" w:rsidRDefault="008D4B2E" w:rsidP="00B818D2">
      <w:pPr>
        <w:pStyle w:val="3"/>
        <w:spacing w:line="240" w:lineRule="auto"/>
        <w:jc w:val="left"/>
        <w:rPr>
          <w:rFonts w:ascii="宋体" w:hAnsi="宋体" w:cs="宋体"/>
          <w:b/>
          <w:bCs/>
        </w:rPr>
      </w:pPr>
      <w:bookmarkStart w:id="164" w:name="_Toc989052"/>
      <w:r>
        <w:rPr>
          <w:rFonts w:ascii="宋体" w:hAnsi="宋体" w:cs="宋体"/>
          <w:b/>
          <w:bCs/>
        </w:rPr>
        <w:t>2、持续经营</w:t>
      </w:r>
      <w:bookmarkEnd w:id="164"/>
    </w:p>
    <w:p w:rsidR="008D4B2E" w:rsidRPr="00606927" w:rsidRDefault="008D4B2E" w:rsidP="00B818D2">
      <w:pPr>
        <w:pStyle w:val="a3"/>
        <w:spacing w:before="0" w:beforeAutospacing="0" w:after="0" w:afterAutospacing="0"/>
        <w:ind w:firstLineChars="200" w:firstLine="360"/>
        <w:jc w:val="both"/>
        <w:divId w:val="340401752"/>
        <w:rPr>
          <w:sz w:val="18"/>
          <w:szCs w:val="18"/>
        </w:rPr>
      </w:pPr>
      <w:r w:rsidRPr="00606927">
        <w:rPr>
          <w:rFonts w:hint="eastAsia"/>
          <w:sz w:val="18"/>
          <w:szCs w:val="18"/>
        </w:rPr>
        <w:t>本财务报表以持续经营为基础列报，本公司</w:t>
      </w:r>
      <w:proofErr w:type="gramStart"/>
      <w:r w:rsidRPr="00606927">
        <w:rPr>
          <w:rFonts w:hint="eastAsia"/>
          <w:sz w:val="18"/>
          <w:szCs w:val="18"/>
        </w:rPr>
        <w:t>自报告期末起</w:t>
      </w:r>
      <w:proofErr w:type="gramEnd"/>
      <w:r w:rsidRPr="00606927">
        <w:rPr>
          <w:rFonts w:hint="eastAsia"/>
          <w:sz w:val="18"/>
          <w:szCs w:val="18"/>
        </w:rPr>
        <w:t>至少</w:t>
      </w:r>
      <w:r w:rsidRPr="00606927">
        <w:rPr>
          <w:sz w:val="18"/>
          <w:szCs w:val="18"/>
        </w:rPr>
        <w:t>12</w:t>
      </w:r>
      <w:r w:rsidRPr="00606927">
        <w:rPr>
          <w:rFonts w:hint="eastAsia"/>
          <w:sz w:val="18"/>
          <w:szCs w:val="18"/>
        </w:rPr>
        <w:t>个月具有持续经营能力。</w:t>
      </w:r>
    </w:p>
    <w:p w:rsidR="00BA0365" w:rsidRDefault="008D4B2E" w:rsidP="00B818D2">
      <w:pPr>
        <w:pStyle w:val="2"/>
        <w:spacing w:before="300" w:after="300"/>
        <w:rPr>
          <w:rFonts w:ascii="宋体" w:eastAsia="宋体" w:hAnsi="宋体" w:cs="宋体"/>
          <w:b/>
          <w:bCs/>
          <w:sz w:val="24"/>
          <w:szCs w:val="24"/>
        </w:rPr>
      </w:pPr>
      <w:bookmarkStart w:id="165" w:name="_Toc989053"/>
      <w:r>
        <w:rPr>
          <w:rFonts w:ascii="宋体" w:eastAsia="宋体" w:hAnsi="宋体" w:cs="宋体"/>
          <w:b/>
          <w:bCs/>
          <w:sz w:val="24"/>
          <w:szCs w:val="24"/>
        </w:rPr>
        <w:t>五、重要会计政策及会计估计</w:t>
      </w:r>
      <w:bookmarkEnd w:id="165"/>
    </w:p>
    <w:p w:rsidR="00BA0365" w:rsidRDefault="008D4B2E" w:rsidP="00B818D2">
      <w:pPr>
        <w:pStyle w:val="a3"/>
        <w:spacing w:before="0" w:beforeAutospacing="0" w:after="0" w:afterAutospacing="0"/>
        <w:ind w:firstLineChars="200" w:firstLine="360"/>
        <w:jc w:val="both"/>
        <w:rPr>
          <w:sz w:val="18"/>
          <w:szCs w:val="18"/>
        </w:rPr>
      </w:pPr>
      <w:r>
        <w:rPr>
          <w:sz w:val="18"/>
          <w:szCs w:val="18"/>
        </w:rPr>
        <w:t>具体会计政策和会计估计提示：</w:t>
      </w:r>
    </w:p>
    <w:p w:rsidR="008D4B2E" w:rsidRPr="00606927" w:rsidRDefault="008D4B2E" w:rsidP="00B818D2">
      <w:pPr>
        <w:pStyle w:val="a3"/>
        <w:spacing w:before="0" w:beforeAutospacing="0" w:after="0" w:afterAutospacing="0"/>
        <w:ind w:firstLineChars="200" w:firstLine="360"/>
        <w:jc w:val="both"/>
        <w:divId w:val="552429326"/>
        <w:rPr>
          <w:sz w:val="18"/>
          <w:szCs w:val="18"/>
        </w:rPr>
      </w:pPr>
      <w:r w:rsidRPr="00606927">
        <w:rPr>
          <w:rFonts w:hint="eastAsia"/>
          <w:sz w:val="18"/>
          <w:szCs w:val="18"/>
        </w:rPr>
        <w:t>本公司及各子公司从事软件、集成电路、智能化产品、橡胶新材料和信息技术服务业。本公司及各子公司根据实际生产经营特点，依据相关企业会计准则的规定，对收入确认、研究开发支出等交易和事项制定了若干项具体会计政策和会计</w:t>
      </w:r>
      <w:r w:rsidRPr="00606927">
        <w:rPr>
          <w:rFonts w:hint="eastAsia"/>
          <w:sz w:val="18"/>
          <w:szCs w:val="18"/>
        </w:rPr>
        <w:lastRenderedPageBreak/>
        <w:t>估计，详见本附注四、</w:t>
      </w:r>
      <w:r w:rsidRPr="00606927">
        <w:rPr>
          <w:sz w:val="18"/>
          <w:szCs w:val="18"/>
        </w:rPr>
        <w:t>“</w:t>
      </w:r>
      <w:r w:rsidRPr="00606927">
        <w:rPr>
          <w:rFonts w:hint="eastAsia"/>
          <w:sz w:val="18"/>
          <w:szCs w:val="18"/>
        </w:rPr>
        <w:t>收入</w:t>
      </w:r>
      <w:r w:rsidRPr="00606927">
        <w:rPr>
          <w:sz w:val="18"/>
          <w:szCs w:val="18"/>
        </w:rPr>
        <w:t>”</w:t>
      </w:r>
      <w:r w:rsidRPr="00606927">
        <w:rPr>
          <w:rFonts w:hint="eastAsia"/>
          <w:sz w:val="18"/>
          <w:szCs w:val="18"/>
        </w:rPr>
        <w:t>、</w:t>
      </w:r>
      <w:r w:rsidRPr="00606927">
        <w:rPr>
          <w:sz w:val="18"/>
          <w:szCs w:val="18"/>
        </w:rPr>
        <w:t>“</w:t>
      </w:r>
      <w:r w:rsidRPr="00606927">
        <w:rPr>
          <w:rFonts w:hint="eastAsia"/>
          <w:sz w:val="18"/>
          <w:szCs w:val="18"/>
        </w:rPr>
        <w:t>无形资产</w:t>
      </w:r>
      <w:r w:rsidRPr="00606927">
        <w:rPr>
          <w:sz w:val="18"/>
          <w:szCs w:val="18"/>
        </w:rPr>
        <w:t>”</w:t>
      </w:r>
      <w:r w:rsidRPr="00606927">
        <w:rPr>
          <w:rFonts w:hint="eastAsia"/>
          <w:sz w:val="18"/>
          <w:szCs w:val="18"/>
        </w:rPr>
        <w:t>各项描述。关于管理层所</w:t>
      </w:r>
      <w:proofErr w:type="gramStart"/>
      <w:r w:rsidRPr="00606927">
        <w:rPr>
          <w:rFonts w:hint="eastAsia"/>
          <w:sz w:val="18"/>
          <w:szCs w:val="18"/>
        </w:rPr>
        <w:t>作出</w:t>
      </w:r>
      <w:proofErr w:type="gramEnd"/>
      <w:r w:rsidRPr="00606927">
        <w:rPr>
          <w:rFonts w:hint="eastAsia"/>
          <w:sz w:val="18"/>
          <w:szCs w:val="18"/>
        </w:rPr>
        <w:t>的重大会计判断和估计的说明，请参阅附注四、</w:t>
      </w:r>
      <w:r w:rsidRPr="00606927">
        <w:rPr>
          <w:sz w:val="18"/>
          <w:szCs w:val="18"/>
        </w:rPr>
        <w:t>“</w:t>
      </w:r>
      <w:r w:rsidRPr="00606927">
        <w:rPr>
          <w:rFonts w:hint="eastAsia"/>
          <w:sz w:val="18"/>
          <w:szCs w:val="18"/>
        </w:rPr>
        <w:t>重大会计判断和估计</w:t>
      </w:r>
      <w:r w:rsidRPr="00606927">
        <w:rPr>
          <w:sz w:val="18"/>
          <w:szCs w:val="18"/>
        </w:rPr>
        <w:t>”</w:t>
      </w:r>
      <w:r w:rsidRPr="00606927">
        <w:rPr>
          <w:rFonts w:hint="eastAsia"/>
          <w:sz w:val="18"/>
          <w:szCs w:val="18"/>
        </w:rPr>
        <w:t>。</w:t>
      </w:r>
    </w:p>
    <w:p w:rsidR="00BA0365" w:rsidRDefault="008D4B2E" w:rsidP="00B818D2">
      <w:pPr>
        <w:pStyle w:val="3"/>
        <w:spacing w:line="240" w:lineRule="auto"/>
        <w:jc w:val="left"/>
        <w:rPr>
          <w:rFonts w:ascii="宋体" w:hAnsi="宋体" w:cs="宋体"/>
          <w:b/>
          <w:bCs/>
        </w:rPr>
      </w:pPr>
      <w:bookmarkStart w:id="166" w:name="_Toc989054"/>
      <w:r>
        <w:rPr>
          <w:rFonts w:ascii="宋体" w:hAnsi="宋体" w:cs="宋体"/>
          <w:b/>
          <w:bCs/>
        </w:rPr>
        <w:t>1、遵循企业会计准则的声明</w:t>
      </w:r>
      <w:bookmarkEnd w:id="166"/>
    </w:p>
    <w:p w:rsidR="008D4B2E" w:rsidRPr="00606927" w:rsidRDefault="008D4B2E" w:rsidP="00B818D2">
      <w:pPr>
        <w:pStyle w:val="a3"/>
        <w:spacing w:before="0" w:beforeAutospacing="0" w:after="0" w:afterAutospacing="0"/>
        <w:ind w:firstLineChars="200" w:firstLine="360"/>
        <w:jc w:val="both"/>
        <w:divId w:val="630593286"/>
        <w:rPr>
          <w:sz w:val="18"/>
          <w:szCs w:val="18"/>
        </w:rPr>
      </w:pPr>
      <w:r w:rsidRPr="00606927">
        <w:rPr>
          <w:rFonts w:hint="eastAsia"/>
          <w:sz w:val="18"/>
          <w:szCs w:val="18"/>
        </w:rPr>
        <w:t>本公司编制的财务报表符合企业会计准则的要求，真实、完整地反映了本公司</w:t>
      </w:r>
      <w:r w:rsidRPr="00606927">
        <w:rPr>
          <w:sz w:val="18"/>
          <w:szCs w:val="18"/>
        </w:rPr>
        <w:t>2023</w:t>
      </w:r>
      <w:r w:rsidRPr="00606927">
        <w:rPr>
          <w:rFonts w:hint="eastAsia"/>
          <w:sz w:val="18"/>
          <w:szCs w:val="18"/>
        </w:rPr>
        <w:t>年</w:t>
      </w:r>
      <w:r w:rsidRPr="00606927">
        <w:rPr>
          <w:sz w:val="18"/>
          <w:szCs w:val="18"/>
        </w:rPr>
        <w:t>12</w:t>
      </w:r>
      <w:r w:rsidRPr="00606927">
        <w:rPr>
          <w:rFonts w:hint="eastAsia"/>
          <w:sz w:val="18"/>
          <w:szCs w:val="18"/>
        </w:rPr>
        <w:t>月</w:t>
      </w:r>
      <w:r w:rsidRPr="00606927">
        <w:rPr>
          <w:sz w:val="18"/>
          <w:szCs w:val="18"/>
        </w:rPr>
        <w:t>31</w:t>
      </w:r>
      <w:r w:rsidRPr="00606927">
        <w:rPr>
          <w:rFonts w:hint="eastAsia"/>
          <w:sz w:val="18"/>
          <w:szCs w:val="18"/>
        </w:rPr>
        <w:t>日的合并及母公司财务状况及</w:t>
      </w:r>
      <w:r w:rsidRPr="00606927">
        <w:rPr>
          <w:sz w:val="18"/>
          <w:szCs w:val="18"/>
        </w:rPr>
        <w:t>2023</w:t>
      </w:r>
      <w:r w:rsidRPr="00606927">
        <w:rPr>
          <w:rFonts w:hint="eastAsia"/>
          <w:sz w:val="18"/>
          <w:szCs w:val="18"/>
        </w:rPr>
        <w:t>年度的合并及母公司经营成果和合并及母公司现金流量等有关信息。此外，本公司的财务报表在所有重大方面符合中国证券监督管理委员会</w:t>
      </w:r>
      <w:r w:rsidRPr="00606927">
        <w:rPr>
          <w:sz w:val="18"/>
          <w:szCs w:val="18"/>
        </w:rPr>
        <w:t>2023</w:t>
      </w:r>
      <w:r w:rsidRPr="00606927">
        <w:rPr>
          <w:rFonts w:hint="eastAsia"/>
          <w:sz w:val="18"/>
          <w:szCs w:val="18"/>
        </w:rPr>
        <w:t>年修订的《公开发行证券的公司信息披露编报规则第</w:t>
      </w:r>
      <w:r w:rsidRPr="00606927">
        <w:rPr>
          <w:sz w:val="18"/>
          <w:szCs w:val="18"/>
        </w:rPr>
        <w:t>15</w:t>
      </w:r>
      <w:r w:rsidRPr="00606927">
        <w:rPr>
          <w:rFonts w:hint="eastAsia"/>
          <w:sz w:val="18"/>
          <w:szCs w:val="18"/>
        </w:rPr>
        <w:t>号－财务报告的一般规定》有关财务报表及其附注的披露要求。</w:t>
      </w:r>
    </w:p>
    <w:p w:rsidR="00BA0365" w:rsidRDefault="008D4B2E" w:rsidP="00B818D2">
      <w:pPr>
        <w:pStyle w:val="3"/>
        <w:spacing w:line="240" w:lineRule="auto"/>
        <w:jc w:val="left"/>
        <w:rPr>
          <w:rFonts w:ascii="宋体" w:hAnsi="宋体" w:cs="宋体"/>
          <w:b/>
          <w:bCs/>
        </w:rPr>
      </w:pPr>
      <w:bookmarkStart w:id="167" w:name="_Toc989055"/>
      <w:r>
        <w:rPr>
          <w:rFonts w:ascii="宋体" w:hAnsi="宋体" w:cs="宋体"/>
          <w:b/>
          <w:bCs/>
        </w:rPr>
        <w:t>2、会计期间</w:t>
      </w:r>
      <w:bookmarkEnd w:id="167"/>
    </w:p>
    <w:p w:rsidR="008D4B2E" w:rsidRPr="00606927" w:rsidRDefault="008D4B2E" w:rsidP="00B818D2">
      <w:pPr>
        <w:pStyle w:val="a3"/>
        <w:spacing w:before="0" w:beforeAutospacing="0" w:after="0" w:afterAutospacing="0"/>
        <w:ind w:firstLineChars="200" w:firstLine="360"/>
        <w:jc w:val="both"/>
        <w:divId w:val="1066755936"/>
        <w:rPr>
          <w:sz w:val="18"/>
          <w:szCs w:val="18"/>
        </w:rPr>
      </w:pPr>
      <w:r w:rsidRPr="00606927">
        <w:rPr>
          <w:rFonts w:hint="eastAsia"/>
          <w:sz w:val="18"/>
          <w:szCs w:val="18"/>
        </w:rPr>
        <w:t>本公司的会计期间分为年度和中期，会计中期指短于一个完整的会计年度的报告期间。本公司会计年度采用公历年度，即每年自</w:t>
      </w:r>
      <w:r w:rsidRPr="00606927">
        <w:rPr>
          <w:sz w:val="18"/>
          <w:szCs w:val="18"/>
        </w:rPr>
        <w:t>1</w:t>
      </w:r>
      <w:r w:rsidRPr="00606927">
        <w:rPr>
          <w:rFonts w:hint="eastAsia"/>
          <w:sz w:val="18"/>
          <w:szCs w:val="18"/>
        </w:rPr>
        <w:t>月</w:t>
      </w:r>
      <w:r w:rsidRPr="00606927">
        <w:rPr>
          <w:sz w:val="18"/>
          <w:szCs w:val="18"/>
        </w:rPr>
        <w:t>1</w:t>
      </w:r>
      <w:r w:rsidRPr="00606927">
        <w:rPr>
          <w:rFonts w:hint="eastAsia"/>
          <w:sz w:val="18"/>
          <w:szCs w:val="18"/>
        </w:rPr>
        <w:t>日起至</w:t>
      </w:r>
      <w:r w:rsidRPr="00606927">
        <w:rPr>
          <w:sz w:val="18"/>
          <w:szCs w:val="18"/>
        </w:rPr>
        <w:t>12</w:t>
      </w:r>
      <w:r w:rsidRPr="00606927">
        <w:rPr>
          <w:rFonts w:hint="eastAsia"/>
          <w:sz w:val="18"/>
          <w:szCs w:val="18"/>
        </w:rPr>
        <w:t>月</w:t>
      </w:r>
      <w:r w:rsidRPr="00606927">
        <w:rPr>
          <w:sz w:val="18"/>
          <w:szCs w:val="18"/>
        </w:rPr>
        <w:t>31</w:t>
      </w:r>
      <w:r w:rsidRPr="00606927">
        <w:rPr>
          <w:rFonts w:hint="eastAsia"/>
          <w:sz w:val="18"/>
          <w:szCs w:val="18"/>
        </w:rPr>
        <w:t>日止。</w:t>
      </w:r>
    </w:p>
    <w:p w:rsidR="00BA0365" w:rsidRDefault="008D4B2E" w:rsidP="00B818D2">
      <w:pPr>
        <w:pStyle w:val="3"/>
        <w:spacing w:line="240" w:lineRule="auto"/>
        <w:jc w:val="left"/>
        <w:rPr>
          <w:rFonts w:ascii="宋体" w:hAnsi="宋体" w:cs="宋体"/>
          <w:b/>
          <w:bCs/>
        </w:rPr>
      </w:pPr>
      <w:bookmarkStart w:id="168" w:name="_Toc989056"/>
      <w:r>
        <w:rPr>
          <w:rFonts w:ascii="宋体" w:hAnsi="宋体" w:cs="宋体"/>
          <w:b/>
          <w:bCs/>
        </w:rPr>
        <w:t>3、营业周期</w:t>
      </w:r>
      <w:bookmarkEnd w:id="168"/>
    </w:p>
    <w:p w:rsidR="008D4B2E" w:rsidRPr="00606927" w:rsidRDefault="008D4B2E" w:rsidP="00B818D2">
      <w:pPr>
        <w:pStyle w:val="a3"/>
        <w:spacing w:before="0" w:beforeAutospacing="0" w:after="0" w:afterAutospacing="0"/>
        <w:ind w:firstLineChars="200" w:firstLine="360"/>
        <w:jc w:val="both"/>
        <w:divId w:val="1669552451"/>
        <w:rPr>
          <w:rFonts w:cs="Times New Roman"/>
          <w:sz w:val="18"/>
          <w:szCs w:val="18"/>
        </w:rPr>
      </w:pPr>
      <w:r w:rsidRPr="00606927">
        <w:rPr>
          <w:rFonts w:cs="Times New Roman" w:hint="eastAsia"/>
          <w:sz w:val="18"/>
          <w:szCs w:val="18"/>
        </w:rPr>
        <w:t>正常营业周期是指本公司从购买用于加工的资产起</w:t>
      </w:r>
      <w:proofErr w:type="gramStart"/>
      <w:r w:rsidRPr="00606927">
        <w:rPr>
          <w:rFonts w:cs="Times New Roman" w:hint="eastAsia"/>
          <w:sz w:val="18"/>
          <w:szCs w:val="18"/>
        </w:rPr>
        <w:t>至实现</w:t>
      </w:r>
      <w:proofErr w:type="gramEnd"/>
      <w:r w:rsidRPr="00606927">
        <w:rPr>
          <w:rFonts w:cs="Times New Roman" w:hint="eastAsia"/>
          <w:sz w:val="18"/>
          <w:szCs w:val="18"/>
        </w:rPr>
        <w:t>现金或现金等价物的期间。本公司以</w:t>
      </w:r>
      <w:r w:rsidRPr="00606927">
        <w:rPr>
          <w:rFonts w:cs="Times New Roman"/>
          <w:sz w:val="18"/>
          <w:szCs w:val="18"/>
        </w:rPr>
        <w:t>12</w:t>
      </w:r>
      <w:r w:rsidRPr="00606927">
        <w:rPr>
          <w:rFonts w:cs="Times New Roman" w:hint="eastAsia"/>
          <w:sz w:val="18"/>
          <w:szCs w:val="18"/>
        </w:rPr>
        <w:t>个月作为一个营业周期，并以其作为资产和负债的流动性划分标准。</w:t>
      </w:r>
    </w:p>
    <w:p w:rsidR="00BA0365" w:rsidRDefault="008D4B2E" w:rsidP="00B818D2">
      <w:pPr>
        <w:pStyle w:val="3"/>
        <w:spacing w:line="240" w:lineRule="auto"/>
        <w:jc w:val="left"/>
        <w:rPr>
          <w:rFonts w:ascii="宋体" w:hAnsi="宋体" w:cs="宋体"/>
          <w:b/>
          <w:bCs/>
        </w:rPr>
      </w:pPr>
      <w:bookmarkStart w:id="169" w:name="_Toc989057"/>
      <w:r>
        <w:rPr>
          <w:rFonts w:ascii="宋体" w:hAnsi="宋体" w:cs="宋体"/>
          <w:b/>
          <w:bCs/>
        </w:rPr>
        <w:t>4、记账本位币</w:t>
      </w:r>
      <w:bookmarkEnd w:id="169"/>
    </w:p>
    <w:p w:rsidR="008D4B2E" w:rsidRPr="00606927" w:rsidRDefault="008D4B2E" w:rsidP="00B818D2">
      <w:pPr>
        <w:pStyle w:val="a3"/>
        <w:spacing w:before="0" w:beforeAutospacing="0" w:after="0" w:afterAutospacing="0"/>
        <w:ind w:firstLine="399"/>
        <w:jc w:val="both"/>
        <w:divId w:val="324015214"/>
        <w:rPr>
          <w:rFonts w:cs="Times New Roman"/>
          <w:sz w:val="18"/>
          <w:szCs w:val="18"/>
        </w:rPr>
      </w:pPr>
      <w:r w:rsidRPr="00606927">
        <w:rPr>
          <w:rFonts w:cs="Times New Roman" w:hint="eastAsia"/>
          <w:sz w:val="18"/>
          <w:szCs w:val="18"/>
        </w:rPr>
        <w:t>人民币为本公司及境内子公司经营所处的主要经济环境中的货币，本公司及境内子公司以人民币为记账本位币。本公司之境外子公司根据其经营所处的主要经济环境中的货币确定美元、欧元为其记账本位币。本公司编制本财务报表时所采用的货币为人民币。</w:t>
      </w:r>
    </w:p>
    <w:p w:rsidR="00BA0365" w:rsidRDefault="008D4B2E" w:rsidP="00B818D2">
      <w:pPr>
        <w:pStyle w:val="3"/>
        <w:spacing w:line="240" w:lineRule="auto"/>
        <w:jc w:val="left"/>
        <w:rPr>
          <w:rFonts w:ascii="宋体" w:hAnsi="宋体" w:cs="宋体"/>
          <w:b/>
          <w:bCs/>
        </w:rPr>
      </w:pPr>
      <w:bookmarkStart w:id="170" w:name="_Toc989058"/>
      <w:r>
        <w:rPr>
          <w:rFonts w:ascii="宋体" w:hAnsi="宋体" w:cs="宋体"/>
          <w:b/>
          <w:bCs/>
        </w:rPr>
        <w:t>5、重要性标准确定方法和选择依据</w:t>
      </w:r>
      <w:bookmarkEnd w:id="170"/>
    </w:p>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639" w:type="dxa"/>
        <w:tblLayout w:type="fixed"/>
        <w:tblLook w:val="04A0" w:firstRow="1" w:lastRow="0" w:firstColumn="1" w:lastColumn="0" w:noHBand="0" w:noVBand="1"/>
      </w:tblPr>
      <w:tblGrid>
        <w:gridCol w:w="2407"/>
        <w:gridCol w:w="7232"/>
      </w:tblGrid>
      <w:tr w:rsidR="00157EA0" w:rsidTr="00B818D2">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项目</w:t>
            </w:r>
          </w:p>
        </w:tc>
        <w:tc>
          <w:tcPr>
            <w:tcW w:w="723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重要性标准</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重要的单项计提坏账准备的应收款项</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DF1985" w:rsidP="00B818D2">
            <w:pPr>
              <w:pStyle w:val="a3"/>
              <w:spacing w:before="0" w:beforeAutospacing="0" w:after="0" w:afterAutospacing="0"/>
              <w:jc w:val="both"/>
              <w:rPr>
                <w:rFonts w:cs="Times New Roman"/>
                <w:sz w:val="18"/>
                <w:szCs w:val="18"/>
              </w:rPr>
            </w:pPr>
            <w:r w:rsidRPr="00DF1985">
              <w:rPr>
                <w:rFonts w:cs="Times New Roman" w:hint="eastAsia"/>
                <w:sz w:val="18"/>
                <w:szCs w:val="18"/>
              </w:rPr>
              <w:t>公司将单项计提坏账准备的应收账款金额超过资产总额0.5%的认定为重要的单项计提坏账准备的应收账款。</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重要的应收账款坏账准备收回或转回</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公司将单项应收账款坏账准备收回或转回金额超过资产总额0.5%的应收账款认定为重要的应收账款坏账准备收回或转回。</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重要的核销应收账款</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公司将单项应收账款核销金额超过资产总额0.5%的应收账款认定为重要的核销应收账款。</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重要的在建工程项目</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公司将单项在建工程预算超过1亿元的在建工程认定为重要在建工程。</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重要的非全资子公司</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子公司净利润占集团净利润10%或营业收入占集团营业收入10%以上的认定为重要的非全资子公司。</w:t>
            </w:r>
          </w:p>
        </w:tc>
      </w:tr>
      <w:tr w:rsidR="00157EA0" w:rsidTr="007E18D0">
        <w:trPr>
          <w:trHeight w:val="240"/>
        </w:trPr>
        <w:tc>
          <w:tcPr>
            <w:tcW w:w="24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Pr="00606927" w:rsidRDefault="008D4B2E" w:rsidP="00B818D2">
            <w:pPr>
              <w:pStyle w:val="a3"/>
              <w:spacing w:before="0" w:beforeAutospacing="0" w:after="0" w:afterAutospacing="0"/>
              <w:jc w:val="both"/>
              <w:rPr>
                <w:rFonts w:cs="Times New Roman"/>
                <w:sz w:val="18"/>
                <w:szCs w:val="18"/>
              </w:rPr>
            </w:pPr>
            <w:r w:rsidRPr="00606927">
              <w:rPr>
                <w:rFonts w:cs="Times New Roman"/>
                <w:sz w:val="18"/>
                <w:szCs w:val="18"/>
              </w:rPr>
              <w:t>重要的合营企业或联营企业</w:t>
            </w:r>
          </w:p>
        </w:tc>
        <w:tc>
          <w:tcPr>
            <w:tcW w:w="7232" w:type="dxa"/>
            <w:tcBorders>
              <w:top w:val="single" w:sz="2" w:space="0" w:color="auto"/>
              <w:left w:val="single" w:sz="2" w:space="0" w:color="auto"/>
              <w:bottom w:val="single" w:sz="2" w:space="0" w:color="auto"/>
              <w:right w:val="single" w:sz="2" w:space="0" w:color="auto"/>
            </w:tcBorders>
            <w:vAlign w:val="center"/>
          </w:tcPr>
          <w:p w:rsidR="00BA0365" w:rsidRPr="00606927" w:rsidRDefault="00DF1985" w:rsidP="00B818D2">
            <w:pPr>
              <w:pStyle w:val="a3"/>
              <w:spacing w:before="0" w:beforeAutospacing="0" w:after="0" w:afterAutospacing="0"/>
              <w:jc w:val="both"/>
              <w:rPr>
                <w:rFonts w:cs="Times New Roman"/>
                <w:sz w:val="18"/>
                <w:szCs w:val="18"/>
              </w:rPr>
            </w:pPr>
            <w:r w:rsidRPr="00DF1985">
              <w:rPr>
                <w:rFonts w:cs="Times New Roman" w:hint="eastAsia"/>
                <w:sz w:val="18"/>
                <w:szCs w:val="18"/>
              </w:rPr>
              <w:t>对单个被投资单位的长期股权投资账面价值超过资产总额0.5%或账面价值高于5000万元的认定为重要的合营企业或联营企业</w:t>
            </w:r>
          </w:p>
        </w:tc>
      </w:tr>
    </w:tbl>
    <w:p w:rsidR="00BA0365" w:rsidRDefault="008D4B2E" w:rsidP="00B818D2">
      <w:pPr>
        <w:pStyle w:val="3"/>
        <w:spacing w:line="240" w:lineRule="auto"/>
        <w:jc w:val="left"/>
        <w:rPr>
          <w:rFonts w:ascii="宋体" w:hAnsi="宋体" w:cs="宋体"/>
          <w:b/>
          <w:bCs/>
        </w:rPr>
      </w:pPr>
      <w:bookmarkStart w:id="171" w:name="_Toc989059"/>
      <w:r>
        <w:rPr>
          <w:rFonts w:ascii="宋体" w:hAnsi="宋体" w:cs="宋体"/>
          <w:b/>
          <w:bCs/>
        </w:rPr>
        <w:t>6、同</w:t>
      </w:r>
      <w:proofErr w:type="gramStart"/>
      <w:r>
        <w:rPr>
          <w:rFonts w:ascii="宋体" w:hAnsi="宋体" w:cs="宋体"/>
          <w:b/>
          <w:bCs/>
        </w:rPr>
        <w:t>一控制</w:t>
      </w:r>
      <w:proofErr w:type="gramEnd"/>
      <w:r>
        <w:rPr>
          <w:rFonts w:ascii="宋体" w:hAnsi="宋体" w:cs="宋体"/>
          <w:b/>
          <w:bCs/>
        </w:rPr>
        <w:t>下和非同</w:t>
      </w:r>
      <w:proofErr w:type="gramStart"/>
      <w:r>
        <w:rPr>
          <w:rFonts w:ascii="宋体" w:hAnsi="宋体" w:cs="宋体"/>
          <w:b/>
          <w:bCs/>
        </w:rPr>
        <w:t>一控制</w:t>
      </w:r>
      <w:proofErr w:type="gramEnd"/>
      <w:r>
        <w:rPr>
          <w:rFonts w:ascii="宋体" w:hAnsi="宋体" w:cs="宋体"/>
          <w:b/>
          <w:bCs/>
        </w:rPr>
        <w:t>下企业合并的会计处理方法</w:t>
      </w:r>
      <w:bookmarkEnd w:id="171"/>
    </w:p>
    <w:p w:rsidR="008D4B2E" w:rsidRPr="002B59B9" w:rsidRDefault="008D4B2E" w:rsidP="00B818D2">
      <w:pPr>
        <w:pStyle w:val="a3"/>
        <w:spacing w:before="0" w:beforeAutospacing="0" w:after="0" w:afterAutospacing="0"/>
        <w:ind w:left="3" w:firstLine="400"/>
        <w:jc w:val="both"/>
        <w:divId w:val="1561407256"/>
        <w:rPr>
          <w:rFonts w:cs="Times New Roman"/>
          <w:sz w:val="18"/>
          <w:szCs w:val="18"/>
        </w:rPr>
      </w:pPr>
      <w:r w:rsidRPr="002B59B9">
        <w:rPr>
          <w:rFonts w:cs="Times New Roman" w:hint="eastAsia"/>
          <w:sz w:val="18"/>
          <w:szCs w:val="18"/>
        </w:rPr>
        <w:t>企业合并，是指将两个或两个以上单独的企业合并形成一个报告主体的交易或事项。企业合并分为同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下企业合并和非同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lastRenderedPageBreak/>
        <w:t>参与合并的企业在合并前后均受同一方或相同的多方最终控制，且</w:t>
      </w:r>
      <w:proofErr w:type="gramStart"/>
      <w:r w:rsidRPr="002B59B9">
        <w:rPr>
          <w:rFonts w:cs="Times New Roman" w:hint="eastAsia"/>
          <w:sz w:val="18"/>
          <w:szCs w:val="18"/>
        </w:rPr>
        <w:t>该控制</w:t>
      </w:r>
      <w:proofErr w:type="gramEnd"/>
      <w:r w:rsidRPr="002B59B9">
        <w:rPr>
          <w:rFonts w:cs="Times New Roman" w:hint="eastAsia"/>
          <w:sz w:val="18"/>
          <w:szCs w:val="18"/>
        </w:rPr>
        <w:t>并非暂时性的，为同</w:t>
      </w:r>
      <w:proofErr w:type="gramStart"/>
      <w:r w:rsidRPr="002B59B9">
        <w:rPr>
          <w:rFonts w:cs="Times New Roman" w:hint="eastAsia"/>
          <w:sz w:val="18"/>
          <w:szCs w:val="18"/>
        </w:rPr>
        <w:t>一控制</w:t>
      </w:r>
      <w:proofErr w:type="gramEnd"/>
      <w:r w:rsidRPr="002B59B9">
        <w:rPr>
          <w:rFonts w:cs="Times New Roman" w:hint="eastAsia"/>
          <w:sz w:val="18"/>
          <w:szCs w:val="18"/>
        </w:rPr>
        <w:t>下的企业合并。同</w:t>
      </w:r>
      <w:proofErr w:type="gramStart"/>
      <w:r w:rsidRPr="002B59B9">
        <w:rPr>
          <w:rFonts w:cs="Times New Roman" w:hint="eastAsia"/>
          <w:sz w:val="18"/>
          <w:szCs w:val="18"/>
        </w:rPr>
        <w:t>一控制</w:t>
      </w:r>
      <w:proofErr w:type="gramEnd"/>
      <w:r w:rsidRPr="002B59B9">
        <w:rPr>
          <w:rFonts w:cs="Times New Roman" w:hint="eastAsia"/>
          <w:sz w:val="18"/>
          <w:szCs w:val="18"/>
        </w:rPr>
        <w:t>下的企业合并，在</w:t>
      </w:r>
      <w:proofErr w:type="gramStart"/>
      <w:r w:rsidRPr="002B59B9">
        <w:rPr>
          <w:rFonts w:cs="Times New Roman" w:hint="eastAsia"/>
          <w:sz w:val="18"/>
          <w:szCs w:val="18"/>
        </w:rPr>
        <w:t>合并日取得</w:t>
      </w:r>
      <w:proofErr w:type="gramEnd"/>
      <w:r w:rsidRPr="002B59B9">
        <w:rPr>
          <w:rFonts w:cs="Times New Roman" w:hint="eastAsia"/>
          <w:sz w:val="18"/>
          <w:szCs w:val="18"/>
        </w:rPr>
        <w:t>对其他参与合并企业控制权的一方为合并方，参与合并的其他企业为被合并方。合并日，是指合并方实际取得对被合并方控制权的日期。</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公司在企业合并中取得的资产和负债，按照</w:t>
      </w:r>
      <w:proofErr w:type="gramStart"/>
      <w:r w:rsidRPr="002B59B9">
        <w:rPr>
          <w:rFonts w:cs="Times New Roman" w:hint="eastAsia"/>
          <w:sz w:val="18"/>
          <w:szCs w:val="18"/>
        </w:rPr>
        <w:t>合并日</w:t>
      </w:r>
      <w:proofErr w:type="gramEnd"/>
      <w:r w:rsidRPr="002B59B9">
        <w:rPr>
          <w:rFonts w:cs="Times New Roman" w:hint="eastAsia"/>
          <w:sz w:val="18"/>
          <w:szCs w:val="18"/>
        </w:rPr>
        <w:t>被合并方资产、负债（包括最终控制</w:t>
      </w:r>
      <w:proofErr w:type="gramStart"/>
      <w:r w:rsidRPr="002B59B9">
        <w:rPr>
          <w:rFonts w:cs="Times New Roman" w:hint="eastAsia"/>
          <w:sz w:val="18"/>
          <w:szCs w:val="18"/>
        </w:rPr>
        <w:t>方收购</w:t>
      </w:r>
      <w:proofErr w:type="gramEnd"/>
      <w:r w:rsidRPr="002B59B9">
        <w:rPr>
          <w:rFonts w:cs="Times New Roman" w:hint="eastAsia"/>
          <w:sz w:val="18"/>
          <w:szCs w:val="18"/>
        </w:rPr>
        <w:t>被合并方形成的商誉）在最终控制方合并财务报表中的账面价值计量；取得的净资产账面价值与支付的合并对价账面价值（或发行股份面值总额）的差额，调整资本公积中的股本溢价，资本公积中股本溢价不足冲减的，调整留存收益。</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合并方为进行企业合并发生的各项直接费用，于发生时计入当期损益。</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）非同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参与合并的企业在合并前后不受同一方或相同的多方最终控制的，为非同</w:t>
      </w:r>
      <w:proofErr w:type="gramStart"/>
      <w:r w:rsidRPr="002B59B9">
        <w:rPr>
          <w:rFonts w:cs="Times New Roman" w:hint="eastAsia"/>
          <w:sz w:val="18"/>
          <w:szCs w:val="18"/>
        </w:rPr>
        <w:t>一控制</w:t>
      </w:r>
      <w:proofErr w:type="gramEnd"/>
      <w:r w:rsidRPr="002B59B9">
        <w:rPr>
          <w:rFonts w:cs="Times New Roman" w:hint="eastAsia"/>
          <w:sz w:val="18"/>
          <w:szCs w:val="18"/>
        </w:rPr>
        <w:t>下的企业合并。非同</w:t>
      </w:r>
      <w:proofErr w:type="gramStart"/>
      <w:r w:rsidRPr="002B59B9">
        <w:rPr>
          <w:rFonts w:cs="Times New Roman" w:hint="eastAsia"/>
          <w:sz w:val="18"/>
          <w:szCs w:val="18"/>
        </w:rPr>
        <w:t>一控制</w:t>
      </w:r>
      <w:proofErr w:type="gramEnd"/>
      <w:r w:rsidRPr="002B59B9">
        <w:rPr>
          <w:rFonts w:cs="Times New Roman" w:hint="eastAsia"/>
          <w:sz w:val="18"/>
          <w:szCs w:val="18"/>
        </w:rPr>
        <w:t>下的企业合并，在购买</w:t>
      </w:r>
      <w:proofErr w:type="gramStart"/>
      <w:r w:rsidRPr="002B59B9">
        <w:rPr>
          <w:rFonts w:cs="Times New Roman" w:hint="eastAsia"/>
          <w:sz w:val="18"/>
          <w:szCs w:val="18"/>
        </w:rPr>
        <w:t>日取得</w:t>
      </w:r>
      <w:proofErr w:type="gramEnd"/>
      <w:r w:rsidRPr="002B59B9">
        <w:rPr>
          <w:rFonts w:cs="Times New Roman" w:hint="eastAsia"/>
          <w:sz w:val="18"/>
          <w:szCs w:val="18"/>
        </w:rPr>
        <w:t>对其他参与合并企业控制权的一方为购买方，参与合并的其他企业为被购买方。购买日，是指为购买方实际取得对被购买方控制权的日期。</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对于非同</w:t>
      </w:r>
      <w:proofErr w:type="gramStart"/>
      <w:r w:rsidRPr="002B59B9">
        <w:rPr>
          <w:rFonts w:cs="Times New Roman" w:hint="eastAsia"/>
          <w:sz w:val="18"/>
          <w:szCs w:val="18"/>
        </w:rPr>
        <w:t>一控制</w:t>
      </w:r>
      <w:proofErr w:type="gramEnd"/>
      <w:r w:rsidRPr="002B59B9">
        <w:rPr>
          <w:rFonts w:cs="Times New Roman" w:hint="eastAsia"/>
          <w:sz w:val="18"/>
          <w:szCs w:val="18"/>
        </w:rPr>
        <w:t>下的企业合并，合并成本包含购买</w:t>
      </w:r>
      <w:proofErr w:type="gramStart"/>
      <w:r w:rsidRPr="002B59B9">
        <w:rPr>
          <w:rFonts w:cs="Times New Roman" w:hint="eastAsia"/>
          <w:sz w:val="18"/>
          <w:szCs w:val="18"/>
        </w:rPr>
        <w:t>日购买</w:t>
      </w:r>
      <w:proofErr w:type="gramEnd"/>
      <w:r w:rsidRPr="002B59B9">
        <w:rPr>
          <w:rFonts w:cs="Times New Roman" w:hint="eastAsia"/>
          <w:sz w:val="18"/>
          <w:szCs w:val="18"/>
        </w:rPr>
        <w:t>方为取得对被购买方的控制权而付出的资产、发生或承担的负债以及发行的权益</w:t>
      </w:r>
      <w:proofErr w:type="gramStart"/>
      <w:r w:rsidRPr="002B59B9">
        <w:rPr>
          <w:rFonts w:cs="Times New Roman" w:hint="eastAsia"/>
          <w:sz w:val="18"/>
          <w:szCs w:val="18"/>
        </w:rPr>
        <w:t>性证券</w:t>
      </w:r>
      <w:proofErr w:type="gramEnd"/>
      <w:r w:rsidRPr="002B59B9">
        <w:rPr>
          <w:rFonts w:cs="Times New Roman" w:hint="eastAsia"/>
          <w:sz w:val="18"/>
          <w:szCs w:val="18"/>
        </w:rPr>
        <w:t>的公允价值，为企业合并发生的审计、法律服务、评估咨询等中介费用以及其他管理费用于发生时计入当期损益。购买方作为合并对价发行的权益</w:t>
      </w:r>
      <w:proofErr w:type="gramStart"/>
      <w:r w:rsidRPr="002B59B9">
        <w:rPr>
          <w:rFonts w:cs="Times New Roman" w:hint="eastAsia"/>
          <w:sz w:val="18"/>
          <w:szCs w:val="18"/>
        </w:rPr>
        <w:t>性证券</w:t>
      </w:r>
      <w:proofErr w:type="gramEnd"/>
      <w:r w:rsidRPr="002B59B9">
        <w:rPr>
          <w:rFonts w:cs="Times New Roman" w:hint="eastAsia"/>
          <w:sz w:val="18"/>
          <w:szCs w:val="18"/>
        </w:rPr>
        <w:t>或债务</w:t>
      </w:r>
      <w:proofErr w:type="gramStart"/>
      <w:r w:rsidRPr="002B59B9">
        <w:rPr>
          <w:rFonts w:cs="Times New Roman" w:hint="eastAsia"/>
          <w:sz w:val="18"/>
          <w:szCs w:val="18"/>
        </w:rPr>
        <w:t>性证券</w:t>
      </w:r>
      <w:proofErr w:type="gramEnd"/>
      <w:r w:rsidRPr="002B59B9">
        <w:rPr>
          <w:rFonts w:cs="Times New Roman" w:hint="eastAsia"/>
          <w:sz w:val="18"/>
          <w:szCs w:val="18"/>
        </w:rPr>
        <w:t>的交易费用，计入权益</w:t>
      </w:r>
      <w:proofErr w:type="gramStart"/>
      <w:r w:rsidRPr="002B59B9">
        <w:rPr>
          <w:rFonts w:cs="Times New Roman" w:hint="eastAsia"/>
          <w:sz w:val="18"/>
          <w:szCs w:val="18"/>
        </w:rPr>
        <w:t>性证券</w:t>
      </w:r>
      <w:proofErr w:type="gramEnd"/>
      <w:r w:rsidRPr="002B59B9">
        <w:rPr>
          <w:rFonts w:cs="Times New Roman" w:hint="eastAsia"/>
          <w:sz w:val="18"/>
          <w:szCs w:val="18"/>
        </w:rPr>
        <w:t>或债务</w:t>
      </w:r>
      <w:proofErr w:type="gramStart"/>
      <w:r w:rsidRPr="002B59B9">
        <w:rPr>
          <w:rFonts w:cs="Times New Roman" w:hint="eastAsia"/>
          <w:sz w:val="18"/>
          <w:szCs w:val="18"/>
        </w:rPr>
        <w:t>性证券</w:t>
      </w:r>
      <w:proofErr w:type="gramEnd"/>
      <w:r w:rsidRPr="002B59B9">
        <w:rPr>
          <w:rFonts w:cs="Times New Roman" w:hint="eastAsia"/>
          <w:sz w:val="18"/>
          <w:szCs w:val="18"/>
        </w:rPr>
        <w:t>的初始确认金额。所涉及的或有对价按其在购买日的公允价值计入合并成本，购买日后</w:t>
      </w:r>
      <w:r w:rsidRPr="002B59B9">
        <w:rPr>
          <w:rFonts w:cs="Times New Roman"/>
          <w:sz w:val="18"/>
          <w:szCs w:val="18"/>
        </w:rPr>
        <w:t>12</w:t>
      </w:r>
      <w:r w:rsidRPr="002B59B9">
        <w:rPr>
          <w:rFonts w:cs="Times New Roman" w:hint="eastAsia"/>
          <w:sz w:val="18"/>
          <w:szCs w:val="18"/>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w:t>
      </w:r>
      <w:proofErr w:type="gramStart"/>
      <w:r w:rsidRPr="002B59B9">
        <w:rPr>
          <w:rFonts w:cs="Times New Roman" w:hint="eastAsia"/>
          <w:sz w:val="18"/>
          <w:szCs w:val="18"/>
        </w:rPr>
        <w:t>方各项</w:t>
      </w:r>
      <w:proofErr w:type="gramEnd"/>
      <w:r w:rsidRPr="002B59B9">
        <w:rPr>
          <w:rFonts w:cs="Times New Roman" w:hint="eastAsia"/>
          <w:sz w:val="18"/>
          <w:szCs w:val="18"/>
        </w:rPr>
        <w:t>可辨认资产、负债及或有负债的公允价值以及合并成本的计量进行复核，复核后合并成本仍小于合并中取得的被购买方可辨认净资产公允价值份额的，其差额计入当期损益。</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购买方取得被购买方的可抵扣暂时性差异，在购买日因不符合递延所得税资产确认条件而未予确认的，在购买日后</w:t>
      </w:r>
      <w:r w:rsidRPr="002B59B9">
        <w:rPr>
          <w:rFonts w:cs="Times New Roman"/>
          <w:sz w:val="18"/>
          <w:szCs w:val="18"/>
        </w:rPr>
        <w:t>12</w:t>
      </w:r>
      <w:r w:rsidRPr="002B59B9">
        <w:rPr>
          <w:rFonts w:cs="Times New Roman" w:hint="eastAsia"/>
          <w:sz w:val="18"/>
          <w:szCs w:val="18"/>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通过多次交易分步实现的非同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下企业合并，属于</w:t>
      </w:r>
      <w:r w:rsidRPr="002B59B9">
        <w:rPr>
          <w:rFonts w:cs="Times New Roman"/>
          <w:sz w:val="18"/>
          <w:szCs w:val="18"/>
        </w:rPr>
        <w:t>“</w:t>
      </w:r>
      <w:r w:rsidRPr="002B59B9">
        <w:rPr>
          <w:rFonts w:cs="Times New Roman" w:hint="eastAsia"/>
          <w:sz w:val="18"/>
          <w:szCs w:val="18"/>
        </w:rPr>
        <w:t>一揽子交易</w:t>
      </w:r>
      <w:r w:rsidRPr="002B59B9">
        <w:rPr>
          <w:rFonts w:cs="Times New Roman"/>
          <w:sz w:val="18"/>
          <w:szCs w:val="18"/>
        </w:rPr>
        <w:t>”</w:t>
      </w:r>
      <w:r w:rsidRPr="002B59B9">
        <w:rPr>
          <w:rFonts w:cs="Times New Roman" w:hint="eastAsia"/>
          <w:sz w:val="18"/>
          <w:szCs w:val="18"/>
        </w:rPr>
        <w:t>的，参考本部分前面各段描述及本附注四、</w:t>
      </w:r>
      <w:r w:rsidRPr="002B59B9">
        <w:rPr>
          <w:rFonts w:cs="Times New Roman"/>
          <w:sz w:val="18"/>
          <w:szCs w:val="18"/>
        </w:rPr>
        <w:t>“</w:t>
      </w:r>
      <w:r w:rsidRPr="002B59B9">
        <w:rPr>
          <w:rFonts w:cs="Times New Roman" w:hint="eastAsia"/>
          <w:sz w:val="18"/>
          <w:szCs w:val="18"/>
        </w:rPr>
        <w:t>长期股权投资</w:t>
      </w:r>
      <w:r w:rsidRPr="002B59B9">
        <w:rPr>
          <w:rFonts w:cs="Times New Roman"/>
          <w:sz w:val="18"/>
          <w:szCs w:val="18"/>
        </w:rPr>
        <w:t>”</w:t>
      </w:r>
      <w:r w:rsidRPr="002B59B9">
        <w:rPr>
          <w:rFonts w:cs="Times New Roman" w:hint="eastAsia"/>
          <w:sz w:val="18"/>
          <w:szCs w:val="18"/>
        </w:rPr>
        <w:t>进行会计处理；不属于</w:t>
      </w:r>
      <w:r w:rsidRPr="002B59B9">
        <w:rPr>
          <w:rFonts w:cs="Times New Roman"/>
          <w:sz w:val="18"/>
          <w:szCs w:val="18"/>
        </w:rPr>
        <w:t>“</w:t>
      </w:r>
      <w:r w:rsidRPr="002B59B9">
        <w:rPr>
          <w:rFonts w:cs="Times New Roman" w:hint="eastAsia"/>
          <w:sz w:val="18"/>
          <w:szCs w:val="18"/>
        </w:rPr>
        <w:t>一揽子交易</w:t>
      </w:r>
      <w:r w:rsidRPr="002B59B9">
        <w:rPr>
          <w:rFonts w:cs="Times New Roman"/>
          <w:sz w:val="18"/>
          <w:szCs w:val="18"/>
        </w:rPr>
        <w:t>”</w:t>
      </w:r>
      <w:r w:rsidRPr="002B59B9">
        <w:rPr>
          <w:rFonts w:cs="Times New Roman" w:hint="eastAsia"/>
          <w:sz w:val="18"/>
          <w:szCs w:val="18"/>
        </w:rPr>
        <w:t>的，区分个别财务报表和合并财务报表进行相关会计处理：</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8D4B2E" w:rsidRPr="002B59B9" w:rsidRDefault="008D4B2E" w:rsidP="00B818D2">
      <w:pPr>
        <w:pStyle w:val="a3"/>
        <w:spacing w:before="0" w:beforeAutospacing="0" w:after="0" w:afterAutospacing="0"/>
        <w:ind w:firstLine="400"/>
        <w:jc w:val="both"/>
        <w:divId w:val="1561407256"/>
        <w:rPr>
          <w:rFonts w:cs="Times New Roman"/>
          <w:sz w:val="18"/>
          <w:szCs w:val="18"/>
        </w:rPr>
      </w:pPr>
      <w:r w:rsidRPr="002B59B9">
        <w:rPr>
          <w:rFonts w:cs="Times New Roman" w:hint="eastAsia"/>
          <w:sz w:val="18"/>
          <w:szCs w:val="18"/>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p w:rsidR="00BA0365" w:rsidRDefault="008D4B2E" w:rsidP="00B818D2">
      <w:pPr>
        <w:pStyle w:val="3"/>
        <w:spacing w:line="240" w:lineRule="auto"/>
        <w:jc w:val="left"/>
        <w:rPr>
          <w:rFonts w:ascii="宋体" w:hAnsi="宋体" w:cs="宋体"/>
          <w:b/>
          <w:bCs/>
        </w:rPr>
      </w:pPr>
      <w:bookmarkStart w:id="172" w:name="_Toc989060"/>
      <w:r>
        <w:rPr>
          <w:rFonts w:ascii="宋体" w:hAnsi="宋体" w:cs="宋体"/>
          <w:b/>
          <w:bCs/>
        </w:rPr>
        <w:t>7、控制的判断标准和合并财务报表的编制方法</w:t>
      </w:r>
      <w:bookmarkEnd w:id="172"/>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）控制的判断标准</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合并财务报表的合并范围以控制为基础予以确定。控制是指本公司拥有对被投资方的权力，通过参与被投资方的相关活动而享有可变回报，并且有能力运用对被投资方的权力影响该回报金额。通常包括母公司拥有其半数以上的表决权的被投资单位和公司虽拥有其半数以下的表决权但通过与被投资单位其他投资者之间的协议，拥有被投资单位半数以上表决权；根据公司章程或协议，有权决定被投资单位的财务和经营决策；有权任免被投资单位的董事会的多数成员；在被投资单位董事会占多数表决权。</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）合并财务报表编制的方法</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lastRenderedPageBreak/>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下企业合并增加的子公司，其购买日后的经营成果及现金流量已经适当地包括在合并利润表和合并现金流量表中，且不调整合并财务报表的期初数和对比数。同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下企业合并增加的子公司及吸收合并下的被合并方，其自合并当期期初至</w:t>
      </w:r>
      <w:proofErr w:type="gramStart"/>
      <w:r w:rsidRPr="002B59B9">
        <w:rPr>
          <w:rFonts w:cs="Times New Roman" w:hint="eastAsia"/>
          <w:sz w:val="18"/>
          <w:szCs w:val="18"/>
        </w:rPr>
        <w:t>合并日</w:t>
      </w:r>
      <w:proofErr w:type="gramEnd"/>
      <w:r w:rsidRPr="002B59B9">
        <w:rPr>
          <w:rFonts w:cs="Times New Roman" w:hint="eastAsia"/>
          <w:sz w:val="18"/>
          <w:szCs w:val="18"/>
        </w:rPr>
        <w:t>的经营成果和现金流量已经适当地包括在合并利润表和合并现金流量表中，并且同时调整合并财务报表的对比数。</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在编制合并财务报表时，子公司与本公司采用的会计政策或会计期间不一致的，按照本公司的会计政策和会计期间对子公司财务报表进行必要的调整。对于非同</w:t>
      </w:r>
      <w:proofErr w:type="gramStart"/>
      <w:r w:rsidRPr="002B59B9">
        <w:rPr>
          <w:rFonts w:cs="Times New Roman" w:hint="eastAsia"/>
          <w:sz w:val="18"/>
          <w:szCs w:val="18"/>
        </w:rPr>
        <w:t>一控制</w:t>
      </w:r>
      <w:proofErr w:type="gramEnd"/>
      <w:r w:rsidRPr="002B59B9">
        <w:rPr>
          <w:rFonts w:cs="Times New Roman" w:hint="eastAsia"/>
          <w:sz w:val="18"/>
          <w:szCs w:val="18"/>
        </w:rPr>
        <w:t>下企业合并取得的子公司，以购买日可辨认净资产公允价值为基础对其财务报表进行调整。</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公司内所有重大往来余额、交易及未实现利润在合并财务报表编制时予以</w:t>
      </w:r>
      <w:proofErr w:type="gramStart"/>
      <w:r w:rsidRPr="002B59B9">
        <w:rPr>
          <w:rFonts w:cs="Times New Roman" w:hint="eastAsia"/>
          <w:sz w:val="18"/>
          <w:szCs w:val="18"/>
        </w:rPr>
        <w:t>抵销</w:t>
      </w:r>
      <w:proofErr w:type="gramEnd"/>
      <w:r w:rsidRPr="002B59B9">
        <w:rPr>
          <w:rFonts w:cs="Times New Roman" w:hint="eastAsia"/>
          <w:sz w:val="18"/>
          <w:szCs w:val="18"/>
        </w:rPr>
        <w:t>。</w:t>
      </w:r>
    </w:p>
    <w:p w:rsidR="008D4B2E" w:rsidRPr="002B59B9" w:rsidRDefault="008D4B2E" w:rsidP="00B818D2">
      <w:pPr>
        <w:pStyle w:val="a3"/>
        <w:spacing w:before="0" w:beforeAutospacing="0" w:after="0" w:afterAutospacing="0"/>
        <w:ind w:firstLine="400"/>
        <w:jc w:val="both"/>
        <w:divId w:val="1129936717"/>
        <w:rPr>
          <w:rFonts w:cs="Times New Roman"/>
          <w:sz w:val="18"/>
          <w:szCs w:val="18"/>
        </w:rPr>
      </w:pPr>
      <w:r w:rsidRPr="002B59B9">
        <w:rPr>
          <w:rFonts w:cs="Times New Roman" w:hint="eastAsia"/>
          <w:sz w:val="18"/>
          <w:szCs w:val="18"/>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2B59B9">
        <w:rPr>
          <w:rFonts w:cs="Times New Roman"/>
          <w:sz w:val="18"/>
          <w:szCs w:val="18"/>
        </w:rPr>
        <w:t>“</w:t>
      </w:r>
      <w:r w:rsidRPr="002B59B9">
        <w:rPr>
          <w:rFonts w:cs="Times New Roman" w:hint="eastAsia"/>
          <w:sz w:val="18"/>
          <w:szCs w:val="18"/>
        </w:rPr>
        <w:t>少数股东损益</w:t>
      </w:r>
      <w:r w:rsidRPr="002B59B9">
        <w:rPr>
          <w:rFonts w:cs="Times New Roman"/>
          <w:sz w:val="18"/>
          <w:szCs w:val="18"/>
        </w:rPr>
        <w:t>”</w:t>
      </w:r>
      <w:r w:rsidRPr="002B59B9">
        <w:rPr>
          <w:rFonts w:cs="Times New Roman" w:hint="eastAsia"/>
          <w:sz w:val="18"/>
          <w:szCs w:val="18"/>
        </w:rPr>
        <w:t>项目列示。少数股东分担的子公司的亏损超过了少数股东在该子公司期初股东权益中所享有的份额，仍</w:t>
      </w:r>
      <w:proofErr w:type="gramStart"/>
      <w:r w:rsidRPr="002B59B9">
        <w:rPr>
          <w:rFonts w:cs="Times New Roman" w:hint="eastAsia"/>
          <w:sz w:val="18"/>
          <w:szCs w:val="18"/>
        </w:rPr>
        <w:t>冲减少</w:t>
      </w:r>
      <w:proofErr w:type="gramEnd"/>
      <w:r w:rsidRPr="002B59B9">
        <w:rPr>
          <w:rFonts w:cs="Times New Roman" w:hint="eastAsia"/>
          <w:sz w:val="18"/>
          <w:szCs w:val="18"/>
        </w:rPr>
        <w:t>数股东权益。</w:t>
      </w:r>
    </w:p>
    <w:p w:rsidR="008D4B2E" w:rsidRPr="002B59B9" w:rsidRDefault="008D4B2E" w:rsidP="00B818D2">
      <w:pPr>
        <w:pStyle w:val="a3"/>
        <w:spacing w:before="0" w:beforeAutospacing="0" w:after="0" w:afterAutospacing="0"/>
        <w:ind w:firstLine="400"/>
        <w:divId w:val="1129936717"/>
        <w:rPr>
          <w:rFonts w:cs="Times New Roman"/>
          <w:sz w:val="18"/>
          <w:szCs w:val="18"/>
        </w:rPr>
      </w:pPr>
      <w:r w:rsidRPr="002B59B9">
        <w:rPr>
          <w:rFonts w:cs="Times New Roman" w:hint="eastAsia"/>
          <w:sz w:val="18"/>
          <w:szCs w:val="18"/>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w:t>
      </w:r>
      <w:r w:rsidRPr="002B59B9">
        <w:rPr>
          <w:rFonts w:cs="Times New Roman"/>
          <w:sz w:val="18"/>
          <w:szCs w:val="18"/>
        </w:rPr>
        <w:t>2</w:t>
      </w:r>
      <w:r w:rsidRPr="002B59B9">
        <w:rPr>
          <w:rFonts w:cs="Times New Roman" w:hint="eastAsia"/>
          <w:sz w:val="18"/>
          <w:szCs w:val="18"/>
        </w:rPr>
        <w:t>号</w:t>
      </w:r>
      <w:r w:rsidRPr="002B59B9">
        <w:rPr>
          <w:rFonts w:cs="Times New Roman"/>
          <w:sz w:val="18"/>
          <w:szCs w:val="18"/>
        </w:rPr>
        <w:t>——</w:t>
      </w:r>
      <w:r w:rsidRPr="002B59B9">
        <w:rPr>
          <w:rFonts w:cs="Times New Roman" w:hint="eastAsia"/>
          <w:sz w:val="18"/>
          <w:szCs w:val="18"/>
        </w:rPr>
        <w:t>长期股权投资》或《企业会计准则第</w:t>
      </w:r>
      <w:r w:rsidRPr="002B59B9">
        <w:rPr>
          <w:rFonts w:cs="Times New Roman"/>
          <w:sz w:val="18"/>
          <w:szCs w:val="18"/>
        </w:rPr>
        <w:t>22</w:t>
      </w:r>
      <w:r w:rsidRPr="002B59B9">
        <w:rPr>
          <w:rFonts w:cs="Times New Roman" w:hint="eastAsia"/>
          <w:sz w:val="18"/>
          <w:szCs w:val="18"/>
        </w:rPr>
        <w:t>号</w:t>
      </w:r>
      <w:r w:rsidRPr="002B59B9">
        <w:rPr>
          <w:rFonts w:cs="Times New Roman"/>
          <w:sz w:val="18"/>
          <w:szCs w:val="18"/>
        </w:rPr>
        <w:t>——</w:t>
      </w:r>
      <w:r w:rsidRPr="002B59B9">
        <w:rPr>
          <w:rFonts w:cs="Times New Roman" w:hint="eastAsia"/>
          <w:sz w:val="18"/>
          <w:szCs w:val="18"/>
        </w:rPr>
        <w:t>金融工具确认和计量》等相关规定进行后续计量，详见本附注四、</w:t>
      </w:r>
      <w:r w:rsidRPr="002B59B9">
        <w:rPr>
          <w:rFonts w:cs="Times New Roman"/>
          <w:sz w:val="18"/>
          <w:szCs w:val="18"/>
        </w:rPr>
        <w:t>“</w:t>
      </w:r>
      <w:r w:rsidRPr="002B59B9">
        <w:rPr>
          <w:rFonts w:cs="Times New Roman" w:hint="eastAsia"/>
          <w:sz w:val="18"/>
          <w:szCs w:val="18"/>
        </w:rPr>
        <w:t>长期股权投资</w:t>
      </w:r>
      <w:r w:rsidRPr="002B59B9">
        <w:rPr>
          <w:rFonts w:cs="Times New Roman"/>
          <w:sz w:val="18"/>
          <w:szCs w:val="18"/>
        </w:rPr>
        <w:t>”</w:t>
      </w:r>
      <w:r w:rsidRPr="002B59B9">
        <w:rPr>
          <w:rFonts w:cs="Times New Roman" w:hint="eastAsia"/>
          <w:sz w:val="18"/>
          <w:szCs w:val="18"/>
        </w:rPr>
        <w:t>或本附注四、</w:t>
      </w:r>
      <w:r w:rsidRPr="002B59B9">
        <w:rPr>
          <w:rFonts w:cs="Times New Roman"/>
          <w:sz w:val="18"/>
          <w:szCs w:val="18"/>
        </w:rPr>
        <w:t>“</w:t>
      </w:r>
      <w:r w:rsidRPr="002B59B9">
        <w:rPr>
          <w:rFonts w:cs="Times New Roman" w:hint="eastAsia"/>
          <w:sz w:val="18"/>
          <w:szCs w:val="18"/>
        </w:rPr>
        <w:t>金融工具</w:t>
      </w:r>
      <w:r w:rsidRPr="002B59B9">
        <w:rPr>
          <w:rFonts w:cs="Times New Roman"/>
          <w:sz w:val="18"/>
          <w:szCs w:val="18"/>
        </w:rPr>
        <w:t>”</w:t>
      </w:r>
      <w:r w:rsidRPr="002B59B9">
        <w:rPr>
          <w:rFonts w:cs="Times New Roman" w:hint="eastAsia"/>
          <w:sz w:val="18"/>
          <w:szCs w:val="18"/>
        </w:rPr>
        <w:t>。</w:t>
      </w:r>
    </w:p>
    <w:p w:rsidR="008D4B2E" w:rsidRDefault="008D4B2E" w:rsidP="00B818D2">
      <w:pPr>
        <w:pStyle w:val="a3"/>
        <w:spacing w:before="0" w:beforeAutospacing="0" w:after="0" w:afterAutospacing="0"/>
        <w:ind w:firstLine="400"/>
        <w:divId w:val="1129936717"/>
        <w:rPr>
          <w:rFonts w:ascii="Arial" w:hAnsi="Arial" w:cs="Arial"/>
          <w:sz w:val="18"/>
          <w:szCs w:val="18"/>
        </w:rPr>
      </w:pPr>
      <w:r w:rsidRPr="002B59B9">
        <w:rPr>
          <w:rFonts w:cs="Times New Roman" w:hint="eastAsia"/>
          <w:sz w:val="18"/>
          <w:szCs w:val="18"/>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w:t>
      </w:r>
      <w:r w:rsidRPr="002B59B9">
        <w:rPr>
          <w:rFonts w:cs="Times New Roman"/>
          <w:sz w:val="18"/>
          <w:szCs w:val="18"/>
        </w:rPr>
        <w:t>“</w:t>
      </w:r>
      <w:r w:rsidRPr="002B59B9">
        <w:rPr>
          <w:rFonts w:cs="Times New Roman" w:hint="eastAsia"/>
          <w:sz w:val="18"/>
          <w:szCs w:val="18"/>
        </w:rPr>
        <w:t>不丧失控制权的情况下部分处置对子公司的长期股权投资</w:t>
      </w:r>
      <w:r w:rsidRPr="002B59B9">
        <w:rPr>
          <w:rFonts w:cs="Times New Roman"/>
          <w:sz w:val="18"/>
          <w:szCs w:val="18"/>
        </w:rPr>
        <w:t>”</w:t>
      </w:r>
      <w:r w:rsidRPr="002B59B9">
        <w:rPr>
          <w:rFonts w:cs="Times New Roman" w:hint="eastAsia"/>
          <w:sz w:val="18"/>
          <w:szCs w:val="18"/>
        </w:rPr>
        <w:t>（详见本附注四、长期股权投资（</w:t>
      </w:r>
      <w:r w:rsidRPr="002B59B9">
        <w:rPr>
          <w:rFonts w:cs="Times New Roman"/>
          <w:sz w:val="18"/>
          <w:szCs w:val="18"/>
        </w:rPr>
        <w:t>2</w:t>
      </w:r>
      <w:r w:rsidRPr="002B59B9">
        <w:rPr>
          <w:rFonts w:cs="Times New Roman" w:hint="eastAsia"/>
          <w:sz w:val="18"/>
          <w:szCs w:val="18"/>
        </w:rPr>
        <w:t>）④）和</w:t>
      </w:r>
      <w:r w:rsidRPr="002B59B9">
        <w:rPr>
          <w:rFonts w:cs="Times New Roman"/>
          <w:sz w:val="18"/>
          <w:szCs w:val="18"/>
        </w:rPr>
        <w:t>“</w:t>
      </w:r>
      <w:r w:rsidRPr="002B59B9">
        <w:rPr>
          <w:rFonts w:cs="Times New Roman" w:hint="eastAsia"/>
          <w:sz w:val="18"/>
          <w:szCs w:val="18"/>
        </w:rPr>
        <w:t>因处置部分股权投资或其他原因丧失了对原有子公司的控制权</w:t>
      </w:r>
      <w:r w:rsidRPr="002B59B9">
        <w:rPr>
          <w:rFonts w:cs="Times New Roman"/>
          <w:sz w:val="18"/>
          <w:szCs w:val="18"/>
        </w:rPr>
        <w:t>”</w:t>
      </w:r>
      <w:r w:rsidRPr="002B59B9">
        <w:rPr>
          <w:rFonts w:cs="Times New Roman" w:hint="eastAsia"/>
          <w:sz w:val="18"/>
          <w:szCs w:val="18"/>
        </w:rPr>
        <w:t>（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BA0365" w:rsidRDefault="008D4B2E" w:rsidP="00B818D2">
      <w:pPr>
        <w:pStyle w:val="3"/>
        <w:spacing w:line="240" w:lineRule="auto"/>
        <w:jc w:val="left"/>
        <w:rPr>
          <w:rFonts w:ascii="宋体" w:hAnsi="宋体" w:cs="宋体"/>
          <w:b/>
          <w:bCs/>
        </w:rPr>
      </w:pPr>
      <w:bookmarkStart w:id="173" w:name="_Toc989061"/>
      <w:r>
        <w:rPr>
          <w:rFonts w:ascii="宋体" w:hAnsi="宋体" w:cs="宋体"/>
          <w:b/>
          <w:bCs/>
        </w:rPr>
        <w:t>8、合营安排分类及共同经营会计处理方法</w:t>
      </w:r>
      <w:bookmarkEnd w:id="173"/>
    </w:p>
    <w:p w:rsidR="008D4B2E" w:rsidRPr="002B59B9" w:rsidRDefault="008D4B2E" w:rsidP="00B818D2">
      <w:pPr>
        <w:pStyle w:val="a3"/>
        <w:spacing w:before="0" w:beforeAutospacing="0" w:after="0" w:afterAutospacing="0"/>
        <w:ind w:firstLine="400"/>
        <w:divId w:val="1755012478"/>
        <w:rPr>
          <w:rFonts w:cs="Times New Roman"/>
          <w:sz w:val="18"/>
          <w:szCs w:val="18"/>
        </w:rPr>
      </w:pPr>
      <w:r w:rsidRPr="002B59B9">
        <w:rPr>
          <w:rFonts w:cs="Times New Roman" w:hint="eastAsia"/>
          <w:sz w:val="18"/>
          <w:szCs w:val="18"/>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8D4B2E" w:rsidRPr="002B59B9" w:rsidRDefault="008D4B2E" w:rsidP="00B818D2">
      <w:pPr>
        <w:pStyle w:val="a3"/>
        <w:spacing w:before="0" w:beforeAutospacing="0" w:after="0" w:afterAutospacing="0"/>
        <w:ind w:firstLine="400"/>
        <w:divId w:val="1755012478"/>
        <w:rPr>
          <w:rFonts w:cs="Times New Roman"/>
          <w:sz w:val="18"/>
          <w:szCs w:val="18"/>
        </w:rPr>
      </w:pPr>
      <w:r w:rsidRPr="002B59B9">
        <w:rPr>
          <w:rFonts w:cs="Times New Roman" w:hint="eastAsia"/>
          <w:sz w:val="18"/>
          <w:szCs w:val="18"/>
        </w:rPr>
        <w:t>本公司对合营企业的投资采用权益法核算，按照本附注四、长期股权投资（</w:t>
      </w:r>
      <w:r w:rsidRPr="002B59B9">
        <w:rPr>
          <w:rFonts w:cs="Times New Roman"/>
          <w:sz w:val="18"/>
          <w:szCs w:val="18"/>
        </w:rPr>
        <w:t>2</w:t>
      </w:r>
      <w:r w:rsidRPr="002B59B9">
        <w:rPr>
          <w:rFonts w:cs="Times New Roman" w:hint="eastAsia"/>
          <w:sz w:val="18"/>
          <w:szCs w:val="18"/>
        </w:rPr>
        <w:t>）②</w:t>
      </w:r>
      <w:r w:rsidRPr="002B59B9">
        <w:rPr>
          <w:rFonts w:cs="Times New Roman"/>
          <w:sz w:val="18"/>
          <w:szCs w:val="18"/>
        </w:rPr>
        <w:t>“</w:t>
      </w:r>
      <w:r w:rsidRPr="002B59B9">
        <w:rPr>
          <w:rFonts w:cs="Times New Roman" w:hint="eastAsia"/>
          <w:sz w:val="18"/>
          <w:szCs w:val="18"/>
        </w:rPr>
        <w:t>权益法核算的长期股权投资</w:t>
      </w:r>
      <w:r w:rsidRPr="002B59B9">
        <w:rPr>
          <w:rFonts w:cs="Times New Roman"/>
          <w:sz w:val="18"/>
          <w:szCs w:val="18"/>
        </w:rPr>
        <w:t>”</w:t>
      </w:r>
      <w:r w:rsidRPr="002B59B9">
        <w:rPr>
          <w:rFonts w:cs="Times New Roman" w:hint="eastAsia"/>
          <w:sz w:val="18"/>
          <w:szCs w:val="18"/>
        </w:rPr>
        <w:t>中所述的会计政策处理。</w:t>
      </w:r>
    </w:p>
    <w:p w:rsidR="008D4B2E" w:rsidRPr="002B59B9" w:rsidRDefault="008D4B2E" w:rsidP="00B818D2">
      <w:pPr>
        <w:pStyle w:val="a3"/>
        <w:spacing w:before="0" w:beforeAutospacing="0" w:after="0" w:afterAutospacing="0"/>
        <w:ind w:firstLine="400"/>
        <w:divId w:val="1755012478"/>
        <w:rPr>
          <w:rFonts w:cs="Times New Roman"/>
          <w:sz w:val="18"/>
          <w:szCs w:val="18"/>
        </w:rPr>
      </w:pPr>
      <w:r w:rsidRPr="002B59B9">
        <w:rPr>
          <w:rFonts w:cs="Times New Roman" w:hint="eastAsia"/>
          <w:sz w:val="18"/>
          <w:szCs w:val="18"/>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8D4B2E" w:rsidRPr="002B59B9" w:rsidRDefault="008D4B2E" w:rsidP="00B818D2">
      <w:pPr>
        <w:pStyle w:val="a3"/>
        <w:spacing w:before="0" w:beforeAutospacing="0" w:after="0" w:afterAutospacing="0"/>
        <w:ind w:firstLine="400"/>
        <w:divId w:val="1755012478"/>
        <w:rPr>
          <w:rFonts w:cs="Times New Roman"/>
          <w:sz w:val="18"/>
          <w:szCs w:val="18"/>
        </w:rPr>
      </w:pPr>
      <w:r w:rsidRPr="002B59B9">
        <w:rPr>
          <w:rFonts w:cs="Times New Roman" w:hint="eastAsia"/>
          <w:sz w:val="18"/>
          <w:szCs w:val="18"/>
        </w:rPr>
        <w:t>当本公司作为合营方向共同经营投出或出售资产（该资产不构成业务，下同）、或者</w:t>
      </w:r>
      <w:proofErr w:type="gramStart"/>
      <w:r w:rsidRPr="002B59B9">
        <w:rPr>
          <w:rFonts w:cs="Times New Roman" w:hint="eastAsia"/>
          <w:sz w:val="18"/>
          <w:szCs w:val="18"/>
        </w:rPr>
        <w:t>自共同</w:t>
      </w:r>
      <w:proofErr w:type="gramEnd"/>
      <w:r w:rsidRPr="002B59B9">
        <w:rPr>
          <w:rFonts w:cs="Times New Roman" w:hint="eastAsia"/>
          <w:sz w:val="18"/>
          <w:szCs w:val="18"/>
        </w:rPr>
        <w:t>经营购买资产时，在该等资产出售给第三方之前，本公司仅</w:t>
      </w:r>
      <w:proofErr w:type="gramStart"/>
      <w:r w:rsidRPr="002B59B9">
        <w:rPr>
          <w:rFonts w:cs="Times New Roman" w:hint="eastAsia"/>
          <w:sz w:val="18"/>
          <w:szCs w:val="18"/>
        </w:rPr>
        <w:t>确认因</w:t>
      </w:r>
      <w:proofErr w:type="gramEnd"/>
      <w:r w:rsidRPr="002B59B9">
        <w:rPr>
          <w:rFonts w:cs="Times New Roman" w:hint="eastAsia"/>
          <w:sz w:val="18"/>
          <w:szCs w:val="18"/>
        </w:rPr>
        <w:t>该交易产生的损益中归属于共同经营其他参与方的部分。该等资产发生符合《企</w:t>
      </w:r>
      <w:r w:rsidRPr="002B59B9">
        <w:rPr>
          <w:rFonts w:cs="Times New Roman" w:hint="eastAsia"/>
          <w:sz w:val="18"/>
          <w:szCs w:val="18"/>
        </w:rPr>
        <w:lastRenderedPageBreak/>
        <w:t>业会计准则第</w:t>
      </w:r>
      <w:r w:rsidRPr="002B59B9">
        <w:rPr>
          <w:rFonts w:cs="Times New Roman"/>
          <w:sz w:val="18"/>
          <w:szCs w:val="18"/>
        </w:rPr>
        <w:t>8</w:t>
      </w:r>
      <w:r w:rsidRPr="002B59B9">
        <w:rPr>
          <w:rFonts w:cs="Times New Roman" w:hint="eastAsia"/>
          <w:sz w:val="18"/>
          <w:szCs w:val="18"/>
        </w:rPr>
        <w:t>号</w:t>
      </w:r>
      <w:r w:rsidRPr="002B59B9">
        <w:rPr>
          <w:rFonts w:cs="Times New Roman"/>
          <w:sz w:val="18"/>
          <w:szCs w:val="18"/>
        </w:rPr>
        <w:t>——</w:t>
      </w:r>
      <w:r w:rsidRPr="002B59B9">
        <w:rPr>
          <w:rFonts w:cs="Times New Roman" w:hint="eastAsia"/>
          <w:sz w:val="18"/>
          <w:szCs w:val="18"/>
        </w:rPr>
        <w:t>资产减值》等规定的资产减值损失的，对于由本公司向共同经营投出或出售资产的情况，本公司全额确认该损失；对于本公司</w:t>
      </w:r>
      <w:proofErr w:type="gramStart"/>
      <w:r w:rsidRPr="002B59B9">
        <w:rPr>
          <w:rFonts w:cs="Times New Roman" w:hint="eastAsia"/>
          <w:sz w:val="18"/>
          <w:szCs w:val="18"/>
        </w:rPr>
        <w:t>自共同</w:t>
      </w:r>
      <w:proofErr w:type="gramEnd"/>
      <w:r w:rsidRPr="002B59B9">
        <w:rPr>
          <w:rFonts w:cs="Times New Roman" w:hint="eastAsia"/>
          <w:sz w:val="18"/>
          <w:szCs w:val="18"/>
        </w:rPr>
        <w:t>经营购买资产的情况，本公司按承担的份额确认该损失。</w:t>
      </w:r>
    </w:p>
    <w:p w:rsidR="00BA0365" w:rsidRDefault="008D4B2E" w:rsidP="00B818D2">
      <w:pPr>
        <w:pStyle w:val="3"/>
        <w:spacing w:line="240" w:lineRule="auto"/>
        <w:jc w:val="left"/>
        <w:rPr>
          <w:rFonts w:ascii="宋体" w:hAnsi="宋体" w:cs="宋体"/>
          <w:b/>
          <w:bCs/>
        </w:rPr>
      </w:pPr>
      <w:bookmarkStart w:id="174" w:name="_Toc989062"/>
      <w:r>
        <w:rPr>
          <w:rFonts w:ascii="宋体" w:hAnsi="宋体" w:cs="宋体"/>
          <w:b/>
          <w:bCs/>
        </w:rPr>
        <w:t>9、现金及现金等价物的确定标准</w:t>
      </w:r>
      <w:bookmarkEnd w:id="174"/>
    </w:p>
    <w:p w:rsidR="008D4B2E" w:rsidRPr="002B59B9" w:rsidRDefault="008D4B2E" w:rsidP="00B818D2">
      <w:pPr>
        <w:pStyle w:val="a3"/>
        <w:spacing w:before="0" w:beforeAutospacing="0" w:after="0" w:afterAutospacing="0"/>
        <w:ind w:firstLineChars="200" w:firstLine="360"/>
        <w:jc w:val="both"/>
        <w:divId w:val="1310475210"/>
        <w:rPr>
          <w:rFonts w:cs="Times New Roman"/>
          <w:sz w:val="18"/>
          <w:szCs w:val="18"/>
        </w:rPr>
      </w:pPr>
      <w:r w:rsidRPr="002B59B9">
        <w:rPr>
          <w:rFonts w:cs="Times New Roman" w:hint="eastAsia"/>
          <w:sz w:val="18"/>
          <w:szCs w:val="18"/>
        </w:rPr>
        <w:t>本公司现金及现金等价物包括库存现金、可以随时用于支付的存款以及本公司持有的期限短（一般为从购买日起三个月内到期）、流动性强、易于转换为已知金额现金、价值变动风险很小的投资。</w:t>
      </w:r>
    </w:p>
    <w:p w:rsidR="00BA0365" w:rsidRDefault="008D4B2E" w:rsidP="00B818D2">
      <w:pPr>
        <w:pStyle w:val="3"/>
        <w:spacing w:line="240" w:lineRule="auto"/>
        <w:jc w:val="left"/>
        <w:rPr>
          <w:rFonts w:ascii="宋体" w:hAnsi="宋体" w:cs="宋体"/>
          <w:b/>
          <w:bCs/>
        </w:rPr>
      </w:pPr>
      <w:bookmarkStart w:id="175" w:name="_Toc989063"/>
      <w:r>
        <w:rPr>
          <w:rFonts w:ascii="宋体" w:hAnsi="宋体" w:cs="宋体"/>
          <w:b/>
          <w:bCs/>
        </w:rPr>
        <w:t>10、外币业务和外币报表折算</w:t>
      </w:r>
      <w:bookmarkEnd w:id="175"/>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）外币交易的折算方法</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本公司发生的外币交易在初始确认时，按交易日的即期汇率的近似汇率折算为记账本位币金额，但公司发生的外币兑换业务或涉及外币兑换的交易事项，按照实际采用的汇率折算为记账本位币金额。</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）对于外币货币性项目和外币非货币性项目的折算方法</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资产负债表日，对于外币货币性项目采用资产负债表日即期汇率折算，由此产生的汇兑差额，除：①属于与购建符合资本化条件的资产相关的外币专门借款产生的汇兑差额按照借款费用资本化的原则处理；②用于境外经营净投资有效套期的套</w:t>
      </w:r>
      <w:proofErr w:type="gramStart"/>
      <w:r w:rsidRPr="002B59B9">
        <w:rPr>
          <w:rFonts w:cs="Times New Roman" w:hint="eastAsia"/>
          <w:sz w:val="18"/>
          <w:szCs w:val="18"/>
        </w:rPr>
        <w:t>期工具</w:t>
      </w:r>
      <w:proofErr w:type="gramEnd"/>
      <w:r w:rsidRPr="002B59B9">
        <w:rPr>
          <w:rFonts w:cs="Times New Roman" w:hint="eastAsia"/>
          <w:sz w:val="18"/>
          <w:szCs w:val="18"/>
        </w:rPr>
        <w:t>的汇兑差额（该差额计入其他综合收益，直至净投资被处置才被确认为当期损益）以及③可供出售的外币货币性项目</w:t>
      </w:r>
      <w:proofErr w:type="gramStart"/>
      <w:r w:rsidRPr="002B59B9">
        <w:rPr>
          <w:rFonts w:cs="Times New Roman" w:hint="eastAsia"/>
          <w:sz w:val="18"/>
          <w:szCs w:val="18"/>
        </w:rPr>
        <w:t>除摊余成本</w:t>
      </w:r>
      <w:proofErr w:type="gramEnd"/>
      <w:r w:rsidRPr="002B59B9">
        <w:rPr>
          <w:rFonts w:cs="Times New Roman" w:hint="eastAsia"/>
          <w:sz w:val="18"/>
          <w:szCs w:val="18"/>
        </w:rPr>
        <w:t>之外的其他账面余额变动产生的汇兑差额计入其他综合收益之外，均计入当期损益。</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编制合并财务报表涉及境外经营的，如有实质上构成对境外经营净投资的外币货币性项目，因汇率变动而产生的汇兑差额，计入其他综合收益；处置境外经营时，转入处置当期损益。</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以历史成本计量的外币非货币性项目，仍采用交易发生日的即期汇率折算的记账本位</w:t>
      </w:r>
      <w:proofErr w:type="gramStart"/>
      <w:r w:rsidRPr="002B59B9">
        <w:rPr>
          <w:rFonts w:cs="Times New Roman" w:hint="eastAsia"/>
          <w:sz w:val="18"/>
          <w:szCs w:val="18"/>
        </w:rPr>
        <w:t>币金额</w:t>
      </w:r>
      <w:proofErr w:type="gramEnd"/>
      <w:r w:rsidRPr="002B59B9">
        <w:rPr>
          <w:rFonts w:cs="Times New Roman" w:hint="eastAsia"/>
          <w:sz w:val="18"/>
          <w:szCs w:val="18"/>
        </w:rPr>
        <w:t>计量。以公允价值计量的外币非货币性项目，采用公允价值确定日的即期汇率折算，折算后的记账本位</w:t>
      </w:r>
      <w:proofErr w:type="gramStart"/>
      <w:r w:rsidRPr="002B59B9">
        <w:rPr>
          <w:rFonts w:cs="Times New Roman" w:hint="eastAsia"/>
          <w:sz w:val="18"/>
          <w:szCs w:val="18"/>
        </w:rPr>
        <w:t>币金额</w:t>
      </w:r>
      <w:proofErr w:type="gramEnd"/>
      <w:r w:rsidRPr="002B59B9">
        <w:rPr>
          <w:rFonts w:cs="Times New Roman" w:hint="eastAsia"/>
          <w:sz w:val="18"/>
          <w:szCs w:val="18"/>
        </w:rPr>
        <w:t>与原记账本位</w:t>
      </w:r>
      <w:proofErr w:type="gramStart"/>
      <w:r w:rsidRPr="002B59B9">
        <w:rPr>
          <w:rFonts w:cs="Times New Roman" w:hint="eastAsia"/>
          <w:sz w:val="18"/>
          <w:szCs w:val="18"/>
        </w:rPr>
        <w:t>币金额</w:t>
      </w:r>
      <w:proofErr w:type="gramEnd"/>
      <w:r w:rsidRPr="002B59B9">
        <w:rPr>
          <w:rFonts w:cs="Times New Roman" w:hint="eastAsia"/>
          <w:sz w:val="18"/>
          <w:szCs w:val="18"/>
        </w:rPr>
        <w:t>的差额，作为公允价值变动（含汇率变动）处理，计入当期损益或确认为其他综合收益。</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）外币财务报表的折算方法</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编制合并财务报表涉及境外经营的，如有实质上构成对境外经营净投资的外币货币性项目，因汇率变动而产生的汇兑差额，作为</w:t>
      </w:r>
      <w:r w:rsidRPr="002B59B9">
        <w:rPr>
          <w:rFonts w:cs="Times New Roman"/>
          <w:sz w:val="18"/>
          <w:szCs w:val="18"/>
        </w:rPr>
        <w:t>“</w:t>
      </w:r>
      <w:r w:rsidRPr="002B59B9">
        <w:rPr>
          <w:rFonts w:cs="Times New Roman" w:hint="eastAsia"/>
          <w:sz w:val="18"/>
          <w:szCs w:val="18"/>
        </w:rPr>
        <w:t>外币报表折算差额</w:t>
      </w:r>
      <w:r w:rsidRPr="002B59B9">
        <w:rPr>
          <w:rFonts w:cs="Times New Roman"/>
          <w:sz w:val="18"/>
          <w:szCs w:val="18"/>
        </w:rPr>
        <w:t>”</w:t>
      </w:r>
      <w:r w:rsidRPr="002B59B9">
        <w:rPr>
          <w:rFonts w:cs="Times New Roman" w:hint="eastAsia"/>
          <w:sz w:val="18"/>
          <w:szCs w:val="18"/>
        </w:rPr>
        <w:t>确认为其他综合收益；处置境外经营时，计入处置当期损益。</w:t>
      </w:r>
    </w:p>
    <w:p w:rsid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境外经营的外币财务报表按以下方法折算为人民币报表：资产负债表中的资产和负债项目，采用资产负债表日的即期汇率折算；股东权益类项目除</w:t>
      </w:r>
      <w:r w:rsidRPr="002B59B9">
        <w:rPr>
          <w:rFonts w:cs="Times New Roman"/>
          <w:sz w:val="18"/>
          <w:szCs w:val="18"/>
        </w:rPr>
        <w:t>“</w:t>
      </w:r>
      <w:r w:rsidRPr="002B59B9">
        <w:rPr>
          <w:rFonts w:cs="Times New Roman" w:hint="eastAsia"/>
          <w:sz w:val="18"/>
          <w:szCs w:val="18"/>
        </w:rPr>
        <w:t>未分配利润</w:t>
      </w:r>
      <w:r w:rsidRPr="002B59B9">
        <w:rPr>
          <w:rFonts w:cs="Times New Roman"/>
          <w:sz w:val="18"/>
          <w:szCs w:val="18"/>
        </w:rPr>
        <w:t>”</w:t>
      </w:r>
      <w:r w:rsidRPr="002B59B9">
        <w:rPr>
          <w:rFonts w:cs="Times New Roman" w:hint="eastAsia"/>
          <w:sz w:val="18"/>
          <w:szCs w:val="18"/>
        </w:rPr>
        <w:t>项目外，其他项目采用发生时的即期汇率折算。利润表中的收入和费用项目，采用交易发生日的即期汇率的近似汇率折算。年初未分配利润为上一年折算后的年末未分配利润；期末未分配利润按折算后的利润分配各项</w:t>
      </w:r>
      <w:proofErr w:type="gramStart"/>
      <w:r w:rsidRPr="002B59B9">
        <w:rPr>
          <w:rFonts w:cs="Times New Roman" w:hint="eastAsia"/>
          <w:sz w:val="18"/>
          <w:szCs w:val="18"/>
        </w:rPr>
        <w:t>目计算</w:t>
      </w:r>
      <w:proofErr w:type="gramEnd"/>
      <w:r w:rsidRPr="002B59B9">
        <w:rPr>
          <w:rFonts w:cs="Times New Roman" w:hint="eastAsia"/>
          <w:sz w:val="18"/>
          <w:szCs w:val="18"/>
        </w:rPr>
        <w:t>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外币现金流量以及境外子公司的现金流量，采用现金流量发生日的即期汇率的近似汇率折算。汇率变动对现金的影响额作为调节项目，在现金流量表中单独列报。</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年初数和上年实际</w:t>
      </w:r>
      <w:proofErr w:type="gramStart"/>
      <w:r w:rsidRPr="002B59B9">
        <w:rPr>
          <w:rFonts w:cs="Times New Roman" w:hint="eastAsia"/>
          <w:sz w:val="18"/>
          <w:szCs w:val="18"/>
        </w:rPr>
        <w:t>数按照</w:t>
      </w:r>
      <w:proofErr w:type="gramEnd"/>
      <w:r w:rsidRPr="002B59B9">
        <w:rPr>
          <w:rFonts w:cs="Times New Roman" w:hint="eastAsia"/>
          <w:sz w:val="18"/>
          <w:szCs w:val="18"/>
        </w:rPr>
        <w:t>上年财务报表折算后的数额列示。</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8D4B2E" w:rsidRPr="002B59B9" w:rsidRDefault="008D4B2E" w:rsidP="00B818D2">
      <w:pPr>
        <w:pStyle w:val="a3"/>
        <w:spacing w:before="0" w:beforeAutospacing="0" w:after="0" w:afterAutospacing="0"/>
        <w:ind w:firstLine="400"/>
        <w:jc w:val="both"/>
        <w:divId w:val="889224353"/>
        <w:rPr>
          <w:rFonts w:cs="Times New Roman"/>
          <w:sz w:val="18"/>
          <w:szCs w:val="18"/>
        </w:rPr>
      </w:pPr>
      <w:r w:rsidRPr="002B59B9">
        <w:rPr>
          <w:rFonts w:cs="Times New Roman" w:hint="eastAsia"/>
          <w:sz w:val="18"/>
          <w:szCs w:val="18"/>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BA0365" w:rsidRDefault="008D4B2E" w:rsidP="00B818D2">
      <w:pPr>
        <w:pStyle w:val="3"/>
        <w:spacing w:line="240" w:lineRule="auto"/>
        <w:jc w:val="left"/>
        <w:rPr>
          <w:rFonts w:ascii="宋体" w:hAnsi="宋体" w:cs="宋体"/>
          <w:b/>
          <w:bCs/>
        </w:rPr>
      </w:pPr>
      <w:bookmarkStart w:id="176" w:name="_Toc989064"/>
      <w:r>
        <w:rPr>
          <w:rFonts w:ascii="宋体" w:hAnsi="宋体" w:cs="宋体"/>
          <w:b/>
          <w:bCs/>
        </w:rPr>
        <w:t>11、金融工具</w:t>
      </w:r>
      <w:bookmarkEnd w:id="176"/>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在本公司成为金融工具合同的一方时确认一项金融资产或金融负债。</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lastRenderedPageBreak/>
        <w:t>（</w:t>
      </w:r>
      <w:r w:rsidRPr="002B59B9">
        <w:rPr>
          <w:rFonts w:cs="Times New Roman"/>
          <w:sz w:val="18"/>
          <w:szCs w:val="18"/>
        </w:rPr>
        <w:t>1</w:t>
      </w:r>
      <w:r w:rsidRPr="002B59B9">
        <w:rPr>
          <w:rFonts w:cs="Times New Roman" w:hint="eastAsia"/>
          <w:sz w:val="18"/>
          <w:szCs w:val="18"/>
        </w:rPr>
        <w:t>）金融资产的分类、确认和计量</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本公司根据管理金融资产的业务模式和金融资产的合同现金流量特征，将金融资产划分为：以摊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计量的金融资产；以公允价值计量且其变动计入其他综合收益的金融资产；以公允价值计量且其变动计入当期损益的金融资产。</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w:t>
      </w:r>
      <w:proofErr w:type="gramStart"/>
      <w:r w:rsidRPr="002B59B9">
        <w:rPr>
          <w:rFonts w:cs="Times New Roman" w:hint="eastAsia"/>
          <w:sz w:val="18"/>
          <w:szCs w:val="18"/>
        </w:rPr>
        <w:t>价金额</w:t>
      </w:r>
      <w:proofErr w:type="gramEnd"/>
      <w:r w:rsidRPr="002B59B9">
        <w:rPr>
          <w:rFonts w:cs="Times New Roman" w:hint="eastAsia"/>
          <w:sz w:val="18"/>
          <w:szCs w:val="18"/>
        </w:rPr>
        <w:t>作为初始确认金额。</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①以摊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计量的金融资产</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本公司管理以摊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计量的金融资产的业务模式为以收取合同现金流量为目标，且此类金融资产的合同现金流量特征与基本借贷安排相一致，即在特定日期产生的现金流量，仅为对本金和以</w:t>
      </w:r>
      <w:proofErr w:type="gramStart"/>
      <w:r w:rsidRPr="002B59B9">
        <w:rPr>
          <w:rFonts w:cs="Times New Roman" w:hint="eastAsia"/>
          <w:sz w:val="18"/>
          <w:szCs w:val="18"/>
        </w:rPr>
        <w:t>未偿付本</w:t>
      </w:r>
      <w:proofErr w:type="gramEnd"/>
      <w:r w:rsidRPr="002B59B9">
        <w:rPr>
          <w:rFonts w:cs="Times New Roman" w:hint="eastAsia"/>
          <w:sz w:val="18"/>
          <w:szCs w:val="18"/>
        </w:rPr>
        <w:t>金金额为基础的利息的支付。本公司对于此类金融资产，采用实际利率法，按照摊</w:t>
      </w:r>
      <w:proofErr w:type="gramStart"/>
      <w:r w:rsidRPr="002B59B9">
        <w:rPr>
          <w:rFonts w:cs="Times New Roman" w:hint="eastAsia"/>
          <w:sz w:val="18"/>
          <w:szCs w:val="18"/>
        </w:rPr>
        <w:t>余成本</w:t>
      </w:r>
      <w:proofErr w:type="gramEnd"/>
      <w:r w:rsidRPr="002B59B9">
        <w:rPr>
          <w:rFonts w:cs="Times New Roman" w:hint="eastAsia"/>
          <w:sz w:val="18"/>
          <w:szCs w:val="18"/>
        </w:rPr>
        <w:t>进行后续计量，其摊销或减值产生的利得或损失，计入当期损益。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②以公允价值计量且其变动计入其他综合收益的金融资产</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此外，本公司将部分</w:t>
      </w:r>
      <w:proofErr w:type="gramStart"/>
      <w:r w:rsidRPr="002B59B9">
        <w:rPr>
          <w:rFonts w:cs="Times New Roman" w:hint="eastAsia"/>
          <w:sz w:val="18"/>
          <w:szCs w:val="18"/>
        </w:rPr>
        <w:t>非交易</w:t>
      </w:r>
      <w:proofErr w:type="gramEnd"/>
      <w:r w:rsidRPr="002B59B9">
        <w:rPr>
          <w:rFonts w:cs="Times New Roman" w:hint="eastAsia"/>
          <w:sz w:val="18"/>
          <w:szCs w:val="18"/>
        </w:rPr>
        <w:t>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③以公允价值计量且其变动计入当期损益的金融资产</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本公司将上述以摊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）金融负债的分类、确认和计量</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①以公允价值计量且其变动计入当期损益的金融负债</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以公允价值计量且其变动计入当期损益的金融负债，包括交易性金融负债（</w:t>
      </w:r>
      <w:proofErr w:type="gramStart"/>
      <w:r w:rsidRPr="002B59B9">
        <w:rPr>
          <w:rFonts w:cs="Times New Roman" w:hint="eastAsia"/>
          <w:sz w:val="18"/>
          <w:szCs w:val="18"/>
        </w:rPr>
        <w:t>含属于</w:t>
      </w:r>
      <w:proofErr w:type="gramEnd"/>
      <w:r w:rsidRPr="002B59B9">
        <w:rPr>
          <w:rFonts w:cs="Times New Roman" w:hint="eastAsia"/>
          <w:sz w:val="18"/>
          <w:szCs w:val="18"/>
        </w:rPr>
        <w:t>金融负债的衍生工具）和初始确认时指定为以公允价值计量且其变动计入当期损益的金融负债。</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交易性金融负债（</w:t>
      </w:r>
      <w:proofErr w:type="gramStart"/>
      <w:r w:rsidRPr="002B59B9">
        <w:rPr>
          <w:rFonts w:cs="Times New Roman" w:hint="eastAsia"/>
          <w:sz w:val="18"/>
          <w:szCs w:val="18"/>
        </w:rPr>
        <w:t>含属于</w:t>
      </w:r>
      <w:proofErr w:type="gramEnd"/>
      <w:r w:rsidRPr="002B59B9">
        <w:rPr>
          <w:rFonts w:cs="Times New Roman" w:hint="eastAsia"/>
          <w:sz w:val="18"/>
          <w:szCs w:val="18"/>
        </w:rPr>
        <w:t>金融负债的衍生工具），按照公允价值进行后续计量，除与套期会计有关外，公允价值变动计入当期损益。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②其他金融负债</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除金融资产转移不符合终止确认条件或继续涉入被转移金融资产所形成的金融负债、财务担保合同外的其他金融负债分类为以摊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计量的金融负债，</w:t>
      </w:r>
      <w:proofErr w:type="gramStart"/>
      <w:r w:rsidRPr="002B59B9">
        <w:rPr>
          <w:rFonts w:cs="Times New Roman" w:hint="eastAsia"/>
          <w:sz w:val="18"/>
          <w:szCs w:val="18"/>
        </w:rPr>
        <w:t>按摊余成本</w:t>
      </w:r>
      <w:proofErr w:type="gramEnd"/>
      <w:r w:rsidRPr="002B59B9">
        <w:rPr>
          <w:rFonts w:cs="Times New Roman" w:hint="eastAsia"/>
          <w:sz w:val="18"/>
          <w:szCs w:val="18"/>
        </w:rPr>
        <w:t>进行后续计量，终止确认或摊销产生的利得或损失计入当期损益。</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）金融资产转移的确认依据和计量方法</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满足下列条件之一的金融资产，予以终止确认：①</w:t>
      </w:r>
      <w:r w:rsidRPr="002B59B9">
        <w:rPr>
          <w:rFonts w:cs="Times New Roman"/>
          <w:sz w:val="18"/>
          <w:szCs w:val="18"/>
        </w:rPr>
        <w:t> </w:t>
      </w:r>
      <w:r w:rsidRPr="002B59B9">
        <w:rPr>
          <w:rFonts w:cs="Times New Roman" w:hint="eastAsia"/>
          <w:sz w:val="18"/>
          <w:szCs w:val="18"/>
        </w:rPr>
        <w:t>收取该金融资产现金流量的合同权利终止；②</w:t>
      </w:r>
      <w:r w:rsidRPr="002B59B9">
        <w:rPr>
          <w:rFonts w:cs="Times New Roman"/>
          <w:sz w:val="18"/>
          <w:szCs w:val="18"/>
        </w:rPr>
        <w:t> </w:t>
      </w:r>
      <w:r w:rsidRPr="002B59B9">
        <w:rPr>
          <w:rFonts w:cs="Times New Roman" w:hint="eastAsia"/>
          <w:sz w:val="18"/>
          <w:szCs w:val="18"/>
        </w:rPr>
        <w:t>该金融资产已转移，且将金融资产所有权上几乎所有的风险和报酬转移给转入方；③该金融资产已转移，虽然企业既没有转移也没有保留金融资产所有权上几乎所有的风险和报酬，但是放弃了对该金融资产的控制。</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lastRenderedPageBreak/>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金融资产整体转移满足终止确认条件的，将所转移金融资产的账面价值及因转移而收到的对价与原计入其他综合收益的公允价值变动累计额之和的差额计入当期损益。</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本公司对采用附追索</w:t>
      </w:r>
      <w:proofErr w:type="gramStart"/>
      <w:r w:rsidRPr="002B59B9">
        <w:rPr>
          <w:rFonts w:cs="Times New Roman" w:hint="eastAsia"/>
          <w:sz w:val="18"/>
          <w:szCs w:val="18"/>
        </w:rPr>
        <w:t>权方式</w:t>
      </w:r>
      <w:proofErr w:type="gramEnd"/>
      <w:r w:rsidRPr="002B59B9">
        <w:rPr>
          <w:rFonts w:cs="Times New Roman" w:hint="eastAsia"/>
          <w:sz w:val="18"/>
          <w:szCs w:val="18"/>
        </w:rPr>
        <w:t>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4</w:t>
      </w:r>
      <w:r w:rsidRPr="002B59B9">
        <w:rPr>
          <w:rFonts w:cs="Times New Roman" w:hint="eastAsia"/>
          <w:sz w:val="18"/>
          <w:szCs w:val="18"/>
        </w:rPr>
        <w:t>）金融负债的终止确认</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w:t>
      </w:r>
      <w:proofErr w:type="gramStart"/>
      <w:r w:rsidRPr="002B59B9">
        <w:rPr>
          <w:rFonts w:cs="Times New Roman" w:hint="eastAsia"/>
          <w:sz w:val="18"/>
          <w:szCs w:val="18"/>
        </w:rPr>
        <w:t>原金融</w:t>
      </w:r>
      <w:proofErr w:type="gramEnd"/>
      <w:r w:rsidRPr="002B59B9">
        <w:rPr>
          <w:rFonts w:cs="Times New Roman" w:hint="eastAsia"/>
          <w:sz w:val="18"/>
          <w:szCs w:val="18"/>
        </w:rPr>
        <w:t>负债（或其一部分）的合同条款</w:t>
      </w:r>
      <w:proofErr w:type="gramStart"/>
      <w:r w:rsidRPr="002B59B9">
        <w:rPr>
          <w:rFonts w:cs="Times New Roman" w:hint="eastAsia"/>
          <w:sz w:val="18"/>
          <w:szCs w:val="18"/>
        </w:rPr>
        <w:t>作出</w:t>
      </w:r>
      <w:proofErr w:type="gramEnd"/>
      <w:r w:rsidRPr="002B59B9">
        <w:rPr>
          <w:rFonts w:cs="Times New Roman" w:hint="eastAsia"/>
          <w:sz w:val="18"/>
          <w:szCs w:val="18"/>
        </w:rPr>
        <w:t>实质性修改的，终止确认</w:t>
      </w:r>
      <w:proofErr w:type="gramStart"/>
      <w:r w:rsidRPr="002B59B9">
        <w:rPr>
          <w:rFonts w:cs="Times New Roman" w:hint="eastAsia"/>
          <w:sz w:val="18"/>
          <w:szCs w:val="18"/>
        </w:rPr>
        <w:t>原金融</w:t>
      </w:r>
      <w:proofErr w:type="gramEnd"/>
      <w:r w:rsidRPr="002B59B9">
        <w:rPr>
          <w:rFonts w:cs="Times New Roman" w:hint="eastAsia"/>
          <w:sz w:val="18"/>
          <w:szCs w:val="18"/>
        </w:rPr>
        <w:t>负债，同时按照修改后的条款确认一项新金融负债。</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金融负债（或其一部分）终止确认的，本公司将其账面价值与支付的对价（包括转出的非现金资产或承担的负债）之间的差额，计入当期损益。</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5</w:t>
      </w:r>
      <w:r w:rsidRPr="002B59B9">
        <w:rPr>
          <w:rFonts w:cs="Times New Roman" w:hint="eastAsia"/>
          <w:sz w:val="18"/>
          <w:szCs w:val="18"/>
        </w:rPr>
        <w:t>）金融资产和金融负债的</w:t>
      </w:r>
      <w:proofErr w:type="gramStart"/>
      <w:r w:rsidRPr="002B59B9">
        <w:rPr>
          <w:rFonts w:cs="Times New Roman" w:hint="eastAsia"/>
          <w:sz w:val="18"/>
          <w:szCs w:val="18"/>
        </w:rPr>
        <w:t>抵销</w:t>
      </w:r>
      <w:proofErr w:type="gramEnd"/>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当本公司具有</w:t>
      </w:r>
      <w:proofErr w:type="gramStart"/>
      <w:r w:rsidRPr="002B59B9">
        <w:rPr>
          <w:rFonts w:cs="Times New Roman" w:hint="eastAsia"/>
          <w:sz w:val="18"/>
          <w:szCs w:val="18"/>
        </w:rPr>
        <w:t>抵销</w:t>
      </w:r>
      <w:proofErr w:type="gramEnd"/>
      <w:r w:rsidRPr="002B59B9">
        <w:rPr>
          <w:rFonts w:cs="Times New Roman" w:hint="eastAsia"/>
          <w:sz w:val="18"/>
          <w:szCs w:val="18"/>
        </w:rPr>
        <w:t>已确认金额的金融资产和金融负债的法定权利，且该种法定权利是当前可执行的，同时本公司计划以净额结算或同时变现该金融资产和清偿该金融负债时，金融资产和金融负债以相互</w:t>
      </w:r>
      <w:proofErr w:type="gramStart"/>
      <w:r w:rsidRPr="002B59B9">
        <w:rPr>
          <w:rFonts w:cs="Times New Roman" w:hint="eastAsia"/>
          <w:sz w:val="18"/>
          <w:szCs w:val="18"/>
        </w:rPr>
        <w:t>抵销</w:t>
      </w:r>
      <w:proofErr w:type="gramEnd"/>
      <w:r w:rsidRPr="002B59B9">
        <w:rPr>
          <w:rFonts w:cs="Times New Roman" w:hint="eastAsia"/>
          <w:sz w:val="18"/>
          <w:szCs w:val="18"/>
        </w:rPr>
        <w:t>后的净额在资产负债表内列示。除此以外，金融资产和金融负债在资产负债表内分别列示，不予相互</w:t>
      </w:r>
      <w:proofErr w:type="gramStart"/>
      <w:r w:rsidRPr="002B59B9">
        <w:rPr>
          <w:rFonts w:cs="Times New Roman" w:hint="eastAsia"/>
          <w:sz w:val="18"/>
          <w:szCs w:val="18"/>
        </w:rPr>
        <w:t>抵销</w:t>
      </w:r>
      <w:proofErr w:type="gramEnd"/>
      <w:r w:rsidRPr="002B59B9">
        <w:rPr>
          <w:rFonts w:cs="Times New Roman" w:hint="eastAsia"/>
          <w:sz w:val="18"/>
          <w:szCs w:val="18"/>
        </w:rPr>
        <w:t>。</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w:t>
      </w:r>
      <w:r w:rsidRPr="002B59B9">
        <w:rPr>
          <w:rFonts w:cs="Times New Roman"/>
          <w:sz w:val="18"/>
          <w:szCs w:val="18"/>
        </w:rPr>
        <w:t>6</w:t>
      </w:r>
      <w:r w:rsidRPr="002B59B9">
        <w:rPr>
          <w:rFonts w:cs="Times New Roman" w:hint="eastAsia"/>
          <w:sz w:val="18"/>
          <w:szCs w:val="18"/>
        </w:rPr>
        <w:t>）金融资产和金融负债的公允价值确定方法</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7</w:t>
      </w:r>
      <w:r w:rsidRPr="002B59B9">
        <w:rPr>
          <w:rFonts w:cs="Times New Roman" w:hint="eastAsia"/>
          <w:sz w:val="18"/>
          <w:szCs w:val="18"/>
        </w:rPr>
        <w:t>）权益工具</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权益工具是指能证明拥有本公司在扣除所有负债后的资产中的剩余权益的合同。本公司发行（</w:t>
      </w:r>
      <w:proofErr w:type="gramStart"/>
      <w:r w:rsidRPr="002B59B9">
        <w:rPr>
          <w:rFonts w:cs="Times New Roman" w:hint="eastAsia"/>
          <w:sz w:val="18"/>
          <w:szCs w:val="18"/>
        </w:rPr>
        <w:t>含再融资</w:t>
      </w:r>
      <w:proofErr w:type="gramEnd"/>
      <w:r w:rsidRPr="002B59B9">
        <w:rPr>
          <w:rFonts w:cs="Times New Roman" w:hint="eastAsia"/>
          <w:sz w:val="18"/>
          <w:szCs w:val="18"/>
        </w:rPr>
        <w:t>）、回购、出售或注销权益工具作为权益的变动处理，与权益性交易相关的交易费用从权益中扣减。本公司不确认权益工具的公允价值变动。</w:t>
      </w:r>
    </w:p>
    <w:p w:rsidR="008D4B2E" w:rsidRDefault="008D4B2E" w:rsidP="00B818D2">
      <w:pPr>
        <w:pStyle w:val="a3"/>
        <w:spacing w:before="0" w:beforeAutospacing="0" w:after="0" w:afterAutospacing="0"/>
        <w:ind w:firstLine="400"/>
        <w:divId w:val="1726097854"/>
        <w:rPr>
          <w:rFonts w:ascii="Arial" w:hAnsi="Arial" w:cs="Arial"/>
          <w:sz w:val="18"/>
          <w:szCs w:val="18"/>
        </w:rPr>
      </w:pPr>
      <w:r w:rsidRPr="002B59B9">
        <w:rPr>
          <w:rFonts w:cs="Times New Roman" w:hint="eastAsia"/>
          <w:sz w:val="18"/>
          <w:szCs w:val="18"/>
        </w:rPr>
        <w:t>本公司权益工具在存续期间分派股利（含分类为权益工具的工具所产生的</w:t>
      </w:r>
      <w:r w:rsidRPr="002B59B9">
        <w:rPr>
          <w:rFonts w:cs="Times New Roman"/>
          <w:sz w:val="18"/>
          <w:szCs w:val="18"/>
        </w:rPr>
        <w:t>“</w:t>
      </w:r>
      <w:r w:rsidRPr="002B59B9">
        <w:rPr>
          <w:rFonts w:cs="Times New Roman" w:hint="eastAsia"/>
          <w:sz w:val="18"/>
          <w:szCs w:val="18"/>
        </w:rPr>
        <w:t>利息</w:t>
      </w:r>
      <w:r w:rsidRPr="002B59B9">
        <w:rPr>
          <w:rFonts w:cs="Times New Roman"/>
          <w:sz w:val="18"/>
          <w:szCs w:val="18"/>
        </w:rPr>
        <w:t>”</w:t>
      </w:r>
      <w:r w:rsidRPr="002B59B9">
        <w:rPr>
          <w:rFonts w:cs="Times New Roman" w:hint="eastAsia"/>
          <w:sz w:val="18"/>
          <w:szCs w:val="18"/>
        </w:rPr>
        <w:t>）的，作为利润分配处理。</w:t>
      </w:r>
    </w:p>
    <w:p w:rsidR="008D4B2E" w:rsidRDefault="008D4B2E" w:rsidP="00B818D2">
      <w:pPr>
        <w:pStyle w:val="a3"/>
        <w:spacing w:before="0" w:beforeAutospacing="0" w:after="0" w:afterAutospacing="0"/>
        <w:ind w:firstLine="402"/>
        <w:jc w:val="both"/>
        <w:divId w:val="1726097854"/>
        <w:rPr>
          <w:rFonts w:ascii="Arial" w:hAnsi="Arial" w:cs="Arial"/>
          <w:sz w:val="20"/>
          <w:szCs w:val="20"/>
        </w:rPr>
      </w:pPr>
      <w:r>
        <w:rPr>
          <w:rStyle w:val="a4"/>
          <w:rFonts w:cs="Arial" w:hint="eastAsia"/>
          <w:sz w:val="20"/>
          <w:szCs w:val="20"/>
        </w:rPr>
        <w:t>金融资产减值</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本公司需确认减值损失的金融资产系以摊</w:t>
      </w:r>
      <w:proofErr w:type="gramStart"/>
      <w:r w:rsidRPr="002B59B9">
        <w:rPr>
          <w:rFonts w:cs="Times New Roman" w:hint="eastAsia"/>
          <w:sz w:val="18"/>
          <w:szCs w:val="18"/>
        </w:rPr>
        <w:t>余成本</w:t>
      </w:r>
      <w:proofErr w:type="gramEnd"/>
      <w:r w:rsidRPr="002B59B9">
        <w:rPr>
          <w:rFonts w:cs="Times New Roman" w:hint="eastAsia"/>
          <w:sz w:val="18"/>
          <w:szCs w:val="18"/>
        </w:rPr>
        <w:t>计量的金融资产、以公允价值计量且其变动计入其他综合收益的债务工具投资，主要包括应收票据、应收账款、其他应收款、债权投资、其他债权投资、长期应收款等。此外，对部分财务担保合同，也按照本部分所述会计政策计提减值准备和确认信用减值损失。</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）减值准备的确认和计量</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本公司以预期信用损失为基础，对上述各项</w:t>
      </w:r>
      <w:proofErr w:type="gramStart"/>
      <w:r w:rsidRPr="002B59B9">
        <w:rPr>
          <w:rFonts w:cs="Times New Roman" w:hint="eastAsia"/>
          <w:sz w:val="18"/>
          <w:szCs w:val="18"/>
        </w:rPr>
        <w:t>目按照</w:t>
      </w:r>
      <w:proofErr w:type="gramEnd"/>
      <w:r w:rsidRPr="002B59B9">
        <w:rPr>
          <w:rFonts w:cs="Times New Roman" w:hint="eastAsia"/>
          <w:sz w:val="18"/>
          <w:szCs w:val="18"/>
        </w:rPr>
        <w:t>其适用的预期信用损失计量方法计提减值准备并确认信用减值损失。</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本公司在评估预期信用损失时，考虑所有合理且有依据的信息，包括前瞻性信息。</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lastRenderedPageBreak/>
        <w:t>除了对于</w:t>
      </w:r>
      <w:proofErr w:type="gramStart"/>
      <w:r w:rsidRPr="002B59B9">
        <w:rPr>
          <w:rFonts w:cs="Times New Roman" w:hint="eastAsia"/>
          <w:sz w:val="18"/>
          <w:szCs w:val="18"/>
        </w:rPr>
        <w:t>购买或源生</w:t>
      </w:r>
      <w:proofErr w:type="gramEnd"/>
      <w:r w:rsidRPr="002B59B9">
        <w:rPr>
          <w:rFonts w:cs="Times New Roman" w:hint="eastAsia"/>
          <w:sz w:val="18"/>
          <w:szCs w:val="18"/>
        </w:rPr>
        <w:t>的已发生信用减值的金融资产以及始终按照相当于整个存续期内预期信用损失的金额计量损失准备的金融资产之外，本公司在每个资产负债表日评估金融工具的信用风险自初始确认后是否已经显著增加。</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如果信用风险自初始确认后未显著增加，处于第一阶段，本公司按照未来</w:t>
      </w:r>
      <w:r w:rsidRPr="002B59B9">
        <w:rPr>
          <w:rFonts w:cs="Times New Roman"/>
          <w:sz w:val="18"/>
          <w:szCs w:val="18"/>
        </w:rPr>
        <w:t>12</w:t>
      </w:r>
      <w:r w:rsidRPr="002B59B9">
        <w:rPr>
          <w:rFonts w:cs="Times New Roman" w:hint="eastAsia"/>
          <w:sz w:val="18"/>
          <w:szCs w:val="18"/>
        </w:rPr>
        <w:t>个月内预期信用损失的金额计量损失准备；如果信用风险自初始确认后已显著增加但尚未发生信用减值，处于第二阶段，本公司按照相当于整个存续期内预期信用损失的金额计量损失准备；金融工具自初始确认后已发生信用减值的，处于第三阶段，本公司按照整个存续期的预期信用损失计量损失准备。</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对于在资产负债表</w:t>
      </w:r>
      <w:proofErr w:type="gramStart"/>
      <w:r w:rsidRPr="002B59B9">
        <w:rPr>
          <w:rFonts w:cs="Times New Roman" w:hint="eastAsia"/>
          <w:sz w:val="18"/>
          <w:szCs w:val="18"/>
        </w:rPr>
        <w:t>日具有</w:t>
      </w:r>
      <w:proofErr w:type="gramEnd"/>
      <w:r w:rsidRPr="002B59B9">
        <w:rPr>
          <w:rFonts w:cs="Times New Roman" w:hint="eastAsia"/>
          <w:sz w:val="18"/>
          <w:szCs w:val="18"/>
        </w:rPr>
        <w:t>较低信用风险的金融工具，本公司假设其信用风险自初始确认后并未显著增加，按照未来</w:t>
      </w:r>
      <w:r w:rsidRPr="002B59B9">
        <w:rPr>
          <w:rFonts w:cs="Times New Roman"/>
          <w:sz w:val="18"/>
          <w:szCs w:val="18"/>
        </w:rPr>
        <w:t xml:space="preserve"> 12 </w:t>
      </w:r>
      <w:proofErr w:type="gramStart"/>
      <w:r w:rsidRPr="002B59B9">
        <w:rPr>
          <w:rFonts w:cs="Times New Roman" w:hint="eastAsia"/>
          <w:sz w:val="18"/>
          <w:szCs w:val="18"/>
        </w:rPr>
        <w:t>个</w:t>
      </w:r>
      <w:proofErr w:type="gramEnd"/>
      <w:r w:rsidRPr="002B59B9">
        <w:rPr>
          <w:rFonts w:cs="Times New Roman" w:hint="eastAsia"/>
          <w:sz w:val="18"/>
          <w:szCs w:val="18"/>
        </w:rPr>
        <w:t>月内的预期信用损失计量损失准备。</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）信用风险显著增加</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本公司通过比较金融工具在初始确认时所确定的预计存续期内的违约概率和该工具在资产负债表日所确定的预计存续期内的违约概率，来判定金融工具信用风险是否显著增加。除特殊情形外，本公司采用未来</w:t>
      </w:r>
      <w:r w:rsidRPr="002B59B9">
        <w:rPr>
          <w:rFonts w:cs="Times New Roman"/>
          <w:sz w:val="18"/>
          <w:szCs w:val="18"/>
        </w:rPr>
        <w:t>12</w:t>
      </w:r>
      <w:r w:rsidRPr="002B59B9">
        <w:rPr>
          <w:rFonts w:cs="Times New Roman" w:hint="eastAsia"/>
          <w:sz w:val="18"/>
          <w:szCs w:val="18"/>
        </w:rPr>
        <w:t>个月内发生的违约风险的变化作为整个存续期内发生违约风险变化的合理估计，以确定自初始确认后信用风险是否已显著增加。</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本公司在评估信用风险是否显著增加时会考虑如下因素：</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1</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债务人经营成果实际或预期是否发生显著变化；</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2</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债务人所处的监管、经济或技术环境是否发生显著不利变化；</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3</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作为债务抵押的担保物价值或第三方提供的担保或信用增级质量是否发生显著变化，这些变化预期将降低债务人按合同规定期限还款的经济动机或者影响违约概率；</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4</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债务人预期表现和还款行为是否发生显著变化；</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5</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本公司对金融工具信用管理方法是否发生变化等。</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）已发生信用减值的金融资产的判断标准</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当对金融资产预期未来现金流量具有不利影响的一项或多项事件发生时，该金融资产成为已发生信用减值的金融资产。金融资产已发生信用减值的证据包括下列可观察信息：</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1</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发行方或债务人发生重大财务困难；</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2</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债务人违反合同，如偿付利息或本金违约或逾期等；</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3</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债权人出于与债务人财务困难有关的经济或合同考虑，给予债务人在任何其他情况下都不会做出的让步；</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4</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债务人很可能破产或进行其他财务重组；</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5</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发行方或债务人财务困难导致该金融资产的活跃市场消失；</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sz w:val="18"/>
          <w:szCs w:val="18"/>
        </w:rPr>
        <w:t>6</w:t>
      </w:r>
      <w:r w:rsidRPr="002B59B9">
        <w:rPr>
          <w:rFonts w:cs="Times New Roman" w:hint="eastAsia"/>
          <w:sz w:val="18"/>
          <w:szCs w:val="18"/>
        </w:rPr>
        <w:t>）</w:t>
      </w:r>
      <w:r w:rsidRPr="002B59B9">
        <w:rPr>
          <w:rFonts w:cs="Times New Roman"/>
          <w:sz w:val="18"/>
          <w:szCs w:val="18"/>
        </w:rPr>
        <w:t xml:space="preserve">  </w:t>
      </w:r>
      <w:r w:rsidRPr="002B59B9">
        <w:rPr>
          <w:rFonts w:cs="Times New Roman" w:hint="eastAsia"/>
          <w:sz w:val="18"/>
          <w:szCs w:val="18"/>
        </w:rPr>
        <w:t>以大幅折扣</w:t>
      </w:r>
      <w:proofErr w:type="gramStart"/>
      <w:r w:rsidRPr="002B59B9">
        <w:rPr>
          <w:rFonts w:cs="Times New Roman" w:hint="eastAsia"/>
          <w:sz w:val="18"/>
          <w:szCs w:val="18"/>
        </w:rPr>
        <w:t>购买或源生</w:t>
      </w:r>
      <w:proofErr w:type="gramEnd"/>
      <w:r w:rsidRPr="002B59B9">
        <w:rPr>
          <w:rFonts w:cs="Times New Roman" w:hint="eastAsia"/>
          <w:sz w:val="18"/>
          <w:szCs w:val="18"/>
        </w:rPr>
        <w:t>一项金融资产，该折扣反映了发生信用损失的事实。</w:t>
      </w:r>
    </w:p>
    <w:p w:rsidR="008D4B2E" w:rsidRPr="002B59B9" w:rsidRDefault="008D4B2E" w:rsidP="00B818D2">
      <w:pPr>
        <w:pStyle w:val="a3"/>
        <w:spacing w:before="0" w:beforeAutospacing="0" w:after="0" w:afterAutospacing="0"/>
        <w:ind w:firstLine="400"/>
        <w:jc w:val="both"/>
        <w:divId w:val="1726097854"/>
        <w:rPr>
          <w:rFonts w:cs="Times New Roman"/>
          <w:sz w:val="18"/>
          <w:szCs w:val="18"/>
        </w:rPr>
      </w:pPr>
      <w:r w:rsidRPr="002B59B9">
        <w:rPr>
          <w:rFonts w:cs="Times New Roman" w:hint="eastAsia"/>
          <w:sz w:val="18"/>
          <w:szCs w:val="18"/>
        </w:rPr>
        <w:t>金融资产发生信用减值，有可能是多个事件的共同作用所致，未必是可单独识别的事件所致。</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4</w:t>
      </w:r>
      <w:r w:rsidRPr="002B59B9">
        <w:rPr>
          <w:rFonts w:cs="Times New Roman" w:hint="eastAsia"/>
          <w:sz w:val="18"/>
          <w:szCs w:val="18"/>
        </w:rPr>
        <w:t>）以组合为基础评估预期信用风险的组合方法</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本公司对信用风险显著不同的金融资产单项评价信用风险，如：应收关联方款项；与对方存在争议或涉及诉讼、仲裁的应收款项；已有明显迹象表明债务人很可能无法履行还款义务的应收款项等。</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除了单项评估信用风险的金融资产外，本公司基于共同风险特征将金融资产划分为不同的组别，本公司采用的共同信用风险特征包括：金融工具类型、信用风险评级、账龄组合等，在组合的基础上评估信用风险。</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5</w:t>
      </w:r>
      <w:r w:rsidRPr="002B59B9">
        <w:rPr>
          <w:rFonts w:cs="Times New Roman" w:hint="eastAsia"/>
          <w:sz w:val="18"/>
          <w:szCs w:val="18"/>
        </w:rPr>
        <w:t>）金融资产减值的会计处理方法</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期末，本公司计算各类金融资产的预计信用损失，如果该预计信用损失大于其当前减值准备的账面金额，将其差额确认为减值损失；如果小于当前减值准备的账面金额，则将差额确认为减值利得。</w:t>
      </w:r>
    </w:p>
    <w:p w:rsidR="008D4B2E" w:rsidRPr="002B59B9" w:rsidRDefault="008D4B2E" w:rsidP="00B818D2">
      <w:pPr>
        <w:pStyle w:val="a3"/>
        <w:spacing w:before="0" w:beforeAutospacing="0" w:after="0" w:afterAutospacing="0"/>
        <w:ind w:firstLine="400"/>
        <w:divId w:val="1726097854"/>
        <w:rPr>
          <w:rFonts w:cs="Times New Roman"/>
          <w:sz w:val="18"/>
          <w:szCs w:val="18"/>
        </w:rPr>
      </w:pPr>
      <w:r w:rsidRPr="002B59B9">
        <w:rPr>
          <w:rFonts w:cs="Times New Roman" w:hint="eastAsia"/>
          <w:sz w:val="18"/>
          <w:szCs w:val="18"/>
        </w:rPr>
        <w:t>（</w:t>
      </w:r>
      <w:r w:rsidRPr="002B59B9">
        <w:rPr>
          <w:rFonts w:cs="Times New Roman"/>
          <w:sz w:val="18"/>
          <w:szCs w:val="18"/>
        </w:rPr>
        <w:t>6</w:t>
      </w:r>
      <w:r w:rsidRPr="002B59B9">
        <w:rPr>
          <w:rFonts w:cs="Times New Roman" w:hint="eastAsia"/>
          <w:sz w:val="18"/>
          <w:szCs w:val="18"/>
        </w:rPr>
        <w:t>）各类金融资产信用损失的确定方法</w:t>
      </w:r>
    </w:p>
    <w:p w:rsidR="00BA0365" w:rsidRDefault="008D4B2E" w:rsidP="00B818D2">
      <w:pPr>
        <w:pStyle w:val="3"/>
        <w:spacing w:line="240" w:lineRule="auto"/>
        <w:jc w:val="left"/>
        <w:rPr>
          <w:rFonts w:ascii="宋体" w:hAnsi="宋体" w:cs="宋体"/>
          <w:b/>
          <w:bCs/>
        </w:rPr>
      </w:pPr>
      <w:bookmarkStart w:id="177" w:name="_Toc989065"/>
      <w:r>
        <w:rPr>
          <w:rFonts w:ascii="宋体" w:hAnsi="宋体" w:cs="宋体"/>
          <w:b/>
          <w:bCs/>
        </w:rPr>
        <w:lastRenderedPageBreak/>
        <w:t>12、应收票据</w:t>
      </w:r>
      <w:bookmarkEnd w:id="177"/>
    </w:p>
    <w:p w:rsidR="008D4B2E" w:rsidRPr="002B59B9" w:rsidRDefault="008D4B2E" w:rsidP="00B818D2">
      <w:pPr>
        <w:pStyle w:val="a3"/>
        <w:spacing w:before="0" w:beforeAutospacing="0" w:after="0" w:afterAutospacing="0"/>
        <w:ind w:firstLine="400"/>
        <w:jc w:val="both"/>
        <w:divId w:val="994257869"/>
        <w:rPr>
          <w:rFonts w:cs="Times New Roman"/>
          <w:sz w:val="18"/>
          <w:szCs w:val="18"/>
        </w:rPr>
      </w:pPr>
      <w:r w:rsidRPr="002B59B9">
        <w:rPr>
          <w:rFonts w:cs="Times New Roman" w:hint="eastAsia"/>
          <w:sz w:val="18"/>
          <w:szCs w:val="18"/>
        </w:rPr>
        <w:t>本公司对于应收票据按照相当于整个存续期内的预期信用损失金额计量损失准备。基于应收票据的信用风险特征，将其划分为不同组合：</w:t>
      </w:r>
    </w:p>
    <w:tbl>
      <w:tblPr>
        <w:tblW w:w="9747" w:type="dxa"/>
        <w:tblCellMar>
          <w:left w:w="0" w:type="dxa"/>
          <w:right w:w="0" w:type="dxa"/>
        </w:tblCellMar>
        <w:tblLook w:val="04A0" w:firstRow="1" w:lastRow="0" w:firstColumn="1" w:lastColumn="0" w:noHBand="0" w:noVBand="1"/>
      </w:tblPr>
      <w:tblGrid>
        <w:gridCol w:w="1951"/>
        <w:gridCol w:w="7796"/>
      </w:tblGrid>
      <w:tr w:rsidR="008D4B2E" w:rsidTr="007E0ED4">
        <w:trPr>
          <w:divId w:val="994257869"/>
          <w:trHeight w:val="378"/>
          <w:tblHeader/>
        </w:trPr>
        <w:tc>
          <w:tcPr>
            <w:tcW w:w="1951"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项</w:t>
            </w:r>
            <w:r w:rsidRPr="002B59B9">
              <w:rPr>
                <w:rFonts w:cs="Times New Roman"/>
                <w:sz w:val="18"/>
                <w:szCs w:val="18"/>
              </w:rPr>
              <w:t xml:space="preserve">  </w:t>
            </w:r>
            <w:r w:rsidRPr="002B59B9">
              <w:rPr>
                <w:rFonts w:cs="Times New Roman" w:hint="eastAsia"/>
                <w:sz w:val="18"/>
                <w:szCs w:val="18"/>
              </w:rPr>
              <w:t>目</w:t>
            </w:r>
          </w:p>
        </w:tc>
        <w:tc>
          <w:tcPr>
            <w:tcW w:w="7796"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ind w:firstLine="400"/>
              <w:jc w:val="center"/>
              <w:rPr>
                <w:rFonts w:cs="Times New Roman"/>
                <w:sz w:val="18"/>
                <w:szCs w:val="18"/>
              </w:rPr>
            </w:pPr>
            <w:r w:rsidRPr="002B59B9">
              <w:rPr>
                <w:rFonts w:cs="Times New Roman" w:hint="eastAsia"/>
                <w:sz w:val="18"/>
                <w:szCs w:val="18"/>
              </w:rPr>
              <w:t>确定组合的依据</w:t>
            </w:r>
          </w:p>
        </w:tc>
      </w:tr>
      <w:tr w:rsidR="008D4B2E" w:rsidTr="007E0ED4">
        <w:trPr>
          <w:divId w:val="994257869"/>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银行承兑汇票</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承兑人为信用风险较小的银行</w:t>
            </w:r>
          </w:p>
        </w:tc>
      </w:tr>
      <w:tr w:rsidR="008D4B2E" w:rsidTr="007E0ED4">
        <w:trPr>
          <w:divId w:val="994257869"/>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商业承兑汇票</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与</w:t>
            </w:r>
            <w:r w:rsidRPr="002B59B9">
              <w:rPr>
                <w:rFonts w:cs="Times New Roman"/>
                <w:sz w:val="18"/>
                <w:szCs w:val="18"/>
              </w:rPr>
              <w:t>“</w:t>
            </w:r>
            <w:r w:rsidRPr="002B59B9">
              <w:rPr>
                <w:rFonts w:cs="Times New Roman" w:hint="eastAsia"/>
                <w:sz w:val="18"/>
                <w:szCs w:val="18"/>
              </w:rPr>
              <w:t>应收账款</w:t>
            </w:r>
            <w:r w:rsidRPr="002B59B9">
              <w:rPr>
                <w:rFonts w:cs="Times New Roman"/>
                <w:sz w:val="18"/>
                <w:szCs w:val="18"/>
              </w:rPr>
              <w:t>”</w:t>
            </w:r>
            <w:r w:rsidRPr="002B59B9">
              <w:rPr>
                <w:rFonts w:cs="Times New Roman" w:hint="eastAsia"/>
                <w:sz w:val="18"/>
                <w:szCs w:val="18"/>
              </w:rPr>
              <w:t>组合划分相同</w:t>
            </w:r>
          </w:p>
        </w:tc>
      </w:tr>
    </w:tbl>
    <w:p w:rsidR="008D4B2E" w:rsidRDefault="008D4B2E" w:rsidP="00B818D2">
      <w:pPr>
        <w:divId w:val="994257869"/>
      </w:pPr>
    </w:p>
    <w:p w:rsidR="00BA0365" w:rsidRDefault="008D4B2E" w:rsidP="00B818D2">
      <w:pPr>
        <w:pStyle w:val="3"/>
        <w:spacing w:line="240" w:lineRule="auto"/>
        <w:jc w:val="left"/>
        <w:rPr>
          <w:rFonts w:ascii="宋体" w:hAnsi="宋体" w:cs="宋体"/>
          <w:b/>
          <w:bCs/>
        </w:rPr>
      </w:pPr>
      <w:bookmarkStart w:id="178" w:name="_Toc989066"/>
      <w:r>
        <w:rPr>
          <w:rFonts w:ascii="宋体" w:hAnsi="宋体" w:cs="宋体"/>
          <w:b/>
          <w:bCs/>
        </w:rPr>
        <w:t>13、应收账款</w:t>
      </w:r>
      <w:bookmarkEnd w:id="178"/>
    </w:p>
    <w:p w:rsidR="008D4B2E" w:rsidRDefault="008D4B2E" w:rsidP="00B818D2">
      <w:pPr>
        <w:pStyle w:val="a3"/>
        <w:spacing w:before="0" w:beforeAutospacing="0" w:after="0" w:afterAutospacing="0"/>
        <w:ind w:firstLine="400"/>
        <w:jc w:val="both"/>
        <w:divId w:val="1576894161"/>
        <w:rPr>
          <w:rFonts w:ascii="Arial" w:hAnsi="Arial" w:cs="Arial"/>
          <w:sz w:val="20"/>
          <w:szCs w:val="20"/>
        </w:rPr>
      </w:pPr>
      <w:r>
        <w:rPr>
          <w:rFonts w:cs="Arial" w:hint="eastAsia"/>
          <w:sz w:val="20"/>
          <w:szCs w:val="20"/>
        </w:rPr>
        <w:t>对于不含重大融资成分的应收款项，本公司按照相当于整个存续期内的预期信用损失金额计量损失准备。</w:t>
      </w:r>
    </w:p>
    <w:p w:rsidR="008D4B2E" w:rsidRDefault="008D4B2E" w:rsidP="00B818D2">
      <w:pPr>
        <w:pStyle w:val="a3"/>
        <w:spacing w:before="0" w:beforeAutospacing="0" w:after="0" w:afterAutospacing="0"/>
        <w:ind w:firstLine="400"/>
        <w:jc w:val="both"/>
        <w:divId w:val="1576894161"/>
        <w:rPr>
          <w:rFonts w:ascii="Arial" w:hAnsi="Arial" w:cs="Arial"/>
          <w:sz w:val="20"/>
          <w:szCs w:val="20"/>
        </w:rPr>
      </w:pPr>
      <w:r>
        <w:rPr>
          <w:rFonts w:cs="Arial" w:hint="eastAsia"/>
          <w:sz w:val="20"/>
          <w:szCs w:val="20"/>
        </w:rPr>
        <w:t>对于包含重大融资成分的应收款项，本公司选择始终按照相当于存续期内预期信用损失的金额计量损失准备。</w:t>
      </w:r>
    </w:p>
    <w:p w:rsidR="008D4B2E" w:rsidRDefault="008D4B2E" w:rsidP="00B818D2">
      <w:pPr>
        <w:pStyle w:val="a3"/>
        <w:spacing w:before="0" w:beforeAutospacing="0" w:after="0" w:afterAutospacing="0"/>
        <w:ind w:firstLine="400"/>
        <w:jc w:val="both"/>
        <w:divId w:val="1576894161"/>
        <w:rPr>
          <w:rFonts w:ascii="Arial" w:hAnsi="Arial" w:cs="Arial"/>
          <w:sz w:val="20"/>
          <w:szCs w:val="20"/>
        </w:rPr>
      </w:pPr>
      <w:r>
        <w:rPr>
          <w:rFonts w:cs="Arial" w:hint="eastAsia"/>
          <w:sz w:val="20"/>
          <w:szCs w:val="20"/>
        </w:rPr>
        <w:t>对于存在客观证据表明存在减值，以及其他适用于单项评估的应收账款，单独进行减值测试，确认预期信用损失，计提单项减值准备。对于不存在减值客观证据的应收账款或当单项应收账款无法以合理成本评估预期信用损失的信息时，本公司依据信用风险特征将应收账款划分为若干组合，在组合基础上计算预期信用损失，确定组合的依据如下：</w:t>
      </w:r>
    </w:p>
    <w:tbl>
      <w:tblPr>
        <w:tblW w:w="9747" w:type="dxa"/>
        <w:tblCellMar>
          <w:left w:w="0" w:type="dxa"/>
          <w:right w:w="0" w:type="dxa"/>
        </w:tblCellMar>
        <w:tblLook w:val="04A0" w:firstRow="1" w:lastRow="0" w:firstColumn="1" w:lastColumn="0" w:noHBand="0" w:noVBand="1"/>
      </w:tblPr>
      <w:tblGrid>
        <w:gridCol w:w="1951"/>
        <w:gridCol w:w="7796"/>
      </w:tblGrid>
      <w:tr w:rsidR="008D4B2E" w:rsidTr="007E0ED4">
        <w:trPr>
          <w:divId w:val="1576894161"/>
          <w:trHeight w:val="378"/>
          <w:tblHeader/>
        </w:trPr>
        <w:tc>
          <w:tcPr>
            <w:tcW w:w="1951"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项</w:t>
            </w:r>
            <w:r w:rsidRPr="002B59B9">
              <w:rPr>
                <w:rFonts w:cs="Times New Roman"/>
                <w:sz w:val="18"/>
                <w:szCs w:val="18"/>
              </w:rPr>
              <w:t xml:space="preserve">  </w:t>
            </w:r>
            <w:r w:rsidRPr="002B59B9">
              <w:rPr>
                <w:rFonts w:cs="Times New Roman" w:hint="eastAsia"/>
                <w:sz w:val="18"/>
                <w:szCs w:val="18"/>
              </w:rPr>
              <w:t>目</w:t>
            </w:r>
          </w:p>
        </w:tc>
        <w:tc>
          <w:tcPr>
            <w:tcW w:w="7796"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ind w:firstLine="400"/>
              <w:rPr>
                <w:rFonts w:cs="Times New Roman"/>
                <w:sz w:val="18"/>
                <w:szCs w:val="18"/>
              </w:rPr>
            </w:pPr>
            <w:r w:rsidRPr="002B59B9">
              <w:rPr>
                <w:rFonts w:cs="Times New Roman" w:hint="eastAsia"/>
                <w:sz w:val="18"/>
                <w:szCs w:val="18"/>
              </w:rPr>
              <w:t>确定组合的依据</w:t>
            </w:r>
          </w:p>
        </w:tc>
      </w:tr>
      <w:tr w:rsidR="008D4B2E" w:rsidTr="007E0ED4">
        <w:trPr>
          <w:divId w:val="1576894161"/>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合并范围内关联方</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合并报表范围内公司间应收款项（个别报表）</w:t>
            </w:r>
          </w:p>
        </w:tc>
      </w:tr>
      <w:tr w:rsidR="008D4B2E" w:rsidTr="007E0ED4">
        <w:trPr>
          <w:divId w:val="1576894161"/>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采用账龄的组合</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合并报表范围外的境内各公司账面的应收款项，本组合以应收款项的账</w:t>
            </w:r>
            <w:proofErr w:type="gramStart"/>
            <w:r w:rsidRPr="002B59B9">
              <w:rPr>
                <w:rFonts w:cs="Times New Roman" w:hint="eastAsia"/>
                <w:sz w:val="18"/>
                <w:szCs w:val="18"/>
              </w:rPr>
              <w:t>龄作为</w:t>
            </w:r>
            <w:proofErr w:type="gramEnd"/>
            <w:r w:rsidRPr="002B59B9">
              <w:rPr>
                <w:rFonts w:cs="Times New Roman" w:hint="eastAsia"/>
                <w:sz w:val="18"/>
                <w:szCs w:val="18"/>
              </w:rPr>
              <w:t>信用风险特征。</w:t>
            </w:r>
          </w:p>
        </w:tc>
      </w:tr>
      <w:tr w:rsidR="008D4B2E" w:rsidTr="007E0ED4">
        <w:trPr>
          <w:divId w:val="1576894161"/>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采用个别认定的组合</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管理手段可以用个别现金流量来判断，包括境外公司的单位或个人，以及对有确凿证据表明可收回性存在明显差异的应收款项，单独进行减值测试</w:t>
            </w:r>
          </w:p>
        </w:tc>
      </w:tr>
    </w:tbl>
    <w:p w:rsidR="00BA0365" w:rsidRDefault="008D4B2E" w:rsidP="00B818D2">
      <w:pPr>
        <w:pStyle w:val="3"/>
        <w:spacing w:line="240" w:lineRule="auto"/>
        <w:jc w:val="left"/>
        <w:rPr>
          <w:rFonts w:ascii="宋体" w:hAnsi="宋体" w:cs="宋体"/>
          <w:b/>
          <w:bCs/>
        </w:rPr>
      </w:pPr>
      <w:bookmarkStart w:id="179" w:name="_Toc989067"/>
      <w:r>
        <w:rPr>
          <w:rFonts w:ascii="宋体" w:hAnsi="宋体" w:cs="宋体"/>
          <w:b/>
          <w:bCs/>
        </w:rPr>
        <w:t>14、应收款项融资</w:t>
      </w:r>
      <w:bookmarkEnd w:id="179"/>
    </w:p>
    <w:p w:rsidR="008D4B2E" w:rsidRPr="002B59B9" w:rsidRDefault="008D4B2E" w:rsidP="00B818D2">
      <w:pPr>
        <w:pStyle w:val="a3"/>
        <w:divId w:val="986323029"/>
        <w:rPr>
          <w:rFonts w:cs="Times New Roman"/>
          <w:sz w:val="18"/>
          <w:szCs w:val="18"/>
        </w:rPr>
      </w:pPr>
      <w:r w:rsidRPr="002B59B9">
        <w:rPr>
          <w:rFonts w:cs="Times New Roman" w:hint="eastAsia"/>
          <w:sz w:val="18"/>
          <w:szCs w:val="18"/>
        </w:rPr>
        <w:t>详见“金融工具”。</w:t>
      </w:r>
    </w:p>
    <w:p w:rsidR="00BA0365" w:rsidRDefault="008D4B2E" w:rsidP="00B818D2">
      <w:pPr>
        <w:pStyle w:val="3"/>
        <w:spacing w:line="240" w:lineRule="auto"/>
        <w:jc w:val="left"/>
        <w:rPr>
          <w:rFonts w:ascii="宋体" w:hAnsi="宋体" w:cs="宋体"/>
          <w:b/>
          <w:bCs/>
        </w:rPr>
      </w:pPr>
      <w:bookmarkStart w:id="180" w:name="_Toc989068"/>
      <w:r>
        <w:rPr>
          <w:rFonts w:ascii="宋体" w:hAnsi="宋体" w:cs="宋体"/>
          <w:b/>
          <w:bCs/>
        </w:rPr>
        <w:t>15、其他应收款</w:t>
      </w:r>
      <w:bookmarkEnd w:id="180"/>
    </w:p>
    <w:p w:rsidR="008D4B2E" w:rsidRPr="002B59B9" w:rsidRDefault="008D4B2E" w:rsidP="00B818D2">
      <w:pPr>
        <w:pStyle w:val="a3"/>
        <w:spacing w:before="0" w:beforeAutospacing="0" w:after="0" w:afterAutospacing="0"/>
        <w:ind w:firstLine="400"/>
        <w:divId w:val="387455544"/>
        <w:rPr>
          <w:rFonts w:cs="Times New Roman"/>
          <w:sz w:val="18"/>
          <w:szCs w:val="18"/>
        </w:rPr>
      </w:pPr>
      <w:r w:rsidRPr="002B59B9">
        <w:rPr>
          <w:rFonts w:cs="Times New Roman" w:hint="eastAsia"/>
          <w:sz w:val="18"/>
          <w:szCs w:val="18"/>
        </w:rPr>
        <w:t>本公司依据其他应收款信用风险自初始确认后是否已经显著增加，采用相当于未来</w:t>
      </w:r>
      <w:r w:rsidRPr="002B59B9">
        <w:rPr>
          <w:rFonts w:cs="Times New Roman"/>
          <w:sz w:val="18"/>
          <w:szCs w:val="18"/>
        </w:rPr>
        <w:t>12</w:t>
      </w:r>
      <w:r w:rsidRPr="002B59B9">
        <w:rPr>
          <w:rFonts w:cs="Times New Roman" w:hint="eastAsia"/>
          <w:sz w:val="18"/>
          <w:szCs w:val="18"/>
        </w:rPr>
        <w:t>个月内、或整个存续期的预期信用损失的金额计量减值损失。除了单项评估信用风险的其他应收款外，基于其信用风险特征，将其划分为不同组合：</w:t>
      </w:r>
    </w:p>
    <w:tbl>
      <w:tblPr>
        <w:tblW w:w="9747" w:type="dxa"/>
        <w:tblCellMar>
          <w:left w:w="0" w:type="dxa"/>
          <w:right w:w="0" w:type="dxa"/>
        </w:tblCellMar>
        <w:tblLook w:val="04A0" w:firstRow="1" w:lastRow="0" w:firstColumn="1" w:lastColumn="0" w:noHBand="0" w:noVBand="1"/>
      </w:tblPr>
      <w:tblGrid>
        <w:gridCol w:w="1951"/>
        <w:gridCol w:w="7796"/>
      </w:tblGrid>
      <w:tr w:rsidR="008D4B2E" w:rsidTr="007E0ED4">
        <w:trPr>
          <w:divId w:val="387455544"/>
          <w:trHeight w:val="378"/>
          <w:tblHeader/>
        </w:trPr>
        <w:tc>
          <w:tcPr>
            <w:tcW w:w="1951"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项</w:t>
            </w:r>
            <w:r w:rsidRPr="002B59B9">
              <w:rPr>
                <w:rFonts w:cs="Times New Roman"/>
                <w:sz w:val="18"/>
                <w:szCs w:val="18"/>
              </w:rPr>
              <w:t xml:space="preserve">  </w:t>
            </w:r>
            <w:r w:rsidRPr="002B59B9">
              <w:rPr>
                <w:rFonts w:cs="Times New Roman" w:hint="eastAsia"/>
                <w:sz w:val="18"/>
                <w:szCs w:val="18"/>
              </w:rPr>
              <w:t>目</w:t>
            </w:r>
          </w:p>
        </w:tc>
        <w:tc>
          <w:tcPr>
            <w:tcW w:w="7796"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ind w:firstLine="420"/>
              <w:rPr>
                <w:rFonts w:cs="Times New Roman"/>
                <w:sz w:val="18"/>
                <w:szCs w:val="18"/>
              </w:rPr>
            </w:pPr>
            <w:r w:rsidRPr="002B59B9">
              <w:rPr>
                <w:rFonts w:cs="Times New Roman" w:hint="eastAsia"/>
                <w:sz w:val="18"/>
                <w:szCs w:val="18"/>
              </w:rPr>
              <w:t>确定组合的依据</w:t>
            </w:r>
          </w:p>
        </w:tc>
      </w:tr>
      <w:tr w:rsidR="008D4B2E" w:rsidTr="007E0ED4">
        <w:trPr>
          <w:divId w:val="387455544"/>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合并范围内关联方</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合并报表范围内公司间应收款项（个别报表）</w:t>
            </w:r>
          </w:p>
        </w:tc>
      </w:tr>
      <w:tr w:rsidR="008D4B2E" w:rsidTr="007E0ED4">
        <w:trPr>
          <w:divId w:val="387455544"/>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采用账龄的组合</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合并报表范围外的境内各公司账面的应收款项，本组合以应收款项的账</w:t>
            </w:r>
            <w:proofErr w:type="gramStart"/>
            <w:r w:rsidRPr="002B59B9">
              <w:rPr>
                <w:rFonts w:cs="Times New Roman" w:hint="eastAsia"/>
                <w:sz w:val="18"/>
                <w:szCs w:val="18"/>
              </w:rPr>
              <w:t>龄作为</w:t>
            </w:r>
            <w:proofErr w:type="gramEnd"/>
            <w:r w:rsidRPr="002B59B9">
              <w:rPr>
                <w:rFonts w:cs="Times New Roman" w:hint="eastAsia"/>
                <w:sz w:val="18"/>
                <w:szCs w:val="18"/>
              </w:rPr>
              <w:t>信用风险特征。</w:t>
            </w:r>
          </w:p>
        </w:tc>
      </w:tr>
      <w:tr w:rsidR="008D4B2E" w:rsidTr="007E0ED4">
        <w:trPr>
          <w:divId w:val="387455544"/>
          <w:trHeight w:val="300"/>
        </w:trPr>
        <w:tc>
          <w:tcPr>
            <w:tcW w:w="1951"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jc w:val="center"/>
              <w:rPr>
                <w:rFonts w:cs="Times New Roman"/>
                <w:sz w:val="18"/>
                <w:szCs w:val="18"/>
              </w:rPr>
            </w:pPr>
            <w:r w:rsidRPr="002B59B9">
              <w:rPr>
                <w:rFonts w:cs="Times New Roman" w:hint="eastAsia"/>
                <w:sz w:val="18"/>
                <w:szCs w:val="18"/>
              </w:rPr>
              <w:t>采用个别认定的组合</w:t>
            </w:r>
          </w:p>
        </w:tc>
        <w:tc>
          <w:tcPr>
            <w:tcW w:w="77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2B59B9" w:rsidRDefault="008D4B2E" w:rsidP="00B818D2">
            <w:pPr>
              <w:pStyle w:val="a3"/>
              <w:spacing w:before="0" w:beforeAutospacing="0" w:after="0" w:afterAutospacing="0"/>
              <w:rPr>
                <w:rFonts w:cs="Times New Roman"/>
                <w:sz w:val="18"/>
                <w:szCs w:val="18"/>
              </w:rPr>
            </w:pPr>
            <w:r w:rsidRPr="002B59B9">
              <w:rPr>
                <w:rFonts w:cs="Times New Roman" w:hint="eastAsia"/>
                <w:sz w:val="18"/>
                <w:szCs w:val="18"/>
              </w:rPr>
              <w:t>管理手段可以用个别现金流量来判断，包括境外公司的单位或个人，以及对有确凿证据表明可收回性存在明显差异的应收款项，单独进行减值测试</w:t>
            </w:r>
          </w:p>
        </w:tc>
      </w:tr>
    </w:tbl>
    <w:p w:rsidR="008D4B2E" w:rsidRDefault="008D4B2E" w:rsidP="00B818D2">
      <w:pPr>
        <w:divId w:val="387455544"/>
      </w:pPr>
    </w:p>
    <w:p w:rsidR="00BA0365" w:rsidRDefault="008D4B2E" w:rsidP="00B818D2">
      <w:pPr>
        <w:pStyle w:val="3"/>
        <w:spacing w:line="240" w:lineRule="auto"/>
        <w:jc w:val="left"/>
        <w:rPr>
          <w:rFonts w:ascii="宋体" w:hAnsi="宋体" w:cs="宋体"/>
          <w:b/>
          <w:bCs/>
        </w:rPr>
      </w:pPr>
      <w:bookmarkStart w:id="181" w:name="_Toc989069"/>
      <w:r>
        <w:rPr>
          <w:rFonts w:ascii="宋体" w:hAnsi="宋体" w:cs="宋体"/>
          <w:b/>
          <w:bCs/>
        </w:rPr>
        <w:t>16、合同资产</w:t>
      </w:r>
      <w:bookmarkEnd w:id="181"/>
    </w:p>
    <w:p w:rsidR="008D4B2E" w:rsidRPr="002B59B9" w:rsidRDefault="008D4B2E" w:rsidP="00B818D2">
      <w:pPr>
        <w:pStyle w:val="a3"/>
        <w:spacing w:before="0" w:beforeAutospacing="0" w:after="0" w:afterAutospacing="0"/>
        <w:ind w:firstLine="400"/>
        <w:divId w:val="1804807151"/>
        <w:rPr>
          <w:rFonts w:cs="Times New Roman"/>
          <w:color w:val="000000"/>
          <w:sz w:val="18"/>
          <w:szCs w:val="18"/>
        </w:rPr>
      </w:pPr>
      <w:r w:rsidRPr="002B59B9">
        <w:rPr>
          <w:rFonts w:cs="Times New Roman" w:hint="eastAsia"/>
          <w:color w:val="000000"/>
          <w:sz w:val="18"/>
          <w:szCs w:val="18"/>
        </w:rPr>
        <w:t>本公司将客户尚未支付合同对价，但本公司已经依据合同履行了履约义务，且不属于无条件（即仅取决于时间流逝）向客户收款的权利，在资产负债表中列示为合同资产。同一合同下的合同资产和合同负债以净额列示，不同合同下的合同资产和合同负债不予</w:t>
      </w:r>
      <w:proofErr w:type="gramStart"/>
      <w:r w:rsidRPr="002B59B9">
        <w:rPr>
          <w:rFonts w:cs="Times New Roman" w:hint="eastAsia"/>
          <w:color w:val="000000"/>
          <w:sz w:val="18"/>
          <w:szCs w:val="18"/>
        </w:rPr>
        <w:t>抵销</w:t>
      </w:r>
      <w:proofErr w:type="gramEnd"/>
      <w:r w:rsidRPr="002B59B9">
        <w:rPr>
          <w:rFonts w:cs="Times New Roman" w:hint="eastAsia"/>
          <w:color w:val="000000"/>
          <w:sz w:val="18"/>
          <w:szCs w:val="18"/>
        </w:rPr>
        <w:t>。</w:t>
      </w:r>
    </w:p>
    <w:p w:rsidR="008D4B2E" w:rsidRPr="002B59B9" w:rsidRDefault="008D4B2E" w:rsidP="00B818D2">
      <w:pPr>
        <w:pStyle w:val="a3"/>
        <w:spacing w:before="0" w:beforeAutospacing="0" w:after="0" w:afterAutospacing="0"/>
        <w:ind w:firstLine="400"/>
        <w:jc w:val="both"/>
        <w:divId w:val="1804807151"/>
        <w:rPr>
          <w:rFonts w:cs="Times New Roman"/>
          <w:color w:val="000000"/>
          <w:sz w:val="18"/>
          <w:szCs w:val="18"/>
        </w:rPr>
      </w:pPr>
      <w:r w:rsidRPr="002B59B9">
        <w:rPr>
          <w:rFonts w:cs="Times New Roman" w:hint="eastAsia"/>
          <w:color w:val="000000"/>
          <w:sz w:val="18"/>
          <w:szCs w:val="18"/>
        </w:rPr>
        <w:lastRenderedPageBreak/>
        <w:t>合同资产预期信用损失的确定方法和会计处理方法参见附注四、金融资产减值。</w:t>
      </w:r>
    </w:p>
    <w:p w:rsidR="00BA0365" w:rsidRDefault="008D4B2E" w:rsidP="00B818D2">
      <w:pPr>
        <w:pStyle w:val="3"/>
        <w:spacing w:line="240" w:lineRule="auto"/>
        <w:jc w:val="left"/>
        <w:rPr>
          <w:rFonts w:ascii="宋体" w:hAnsi="宋体" w:cs="宋体"/>
          <w:b/>
          <w:bCs/>
        </w:rPr>
      </w:pPr>
      <w:bookmarkStart w:id="182" w:name="_Toc989070"/>
      <w:r>
        <w:rPr>
          <w:rFonts w:ascii="宋体" w:hAnsi="宋体" w:cs="宋体"/>
          <w:b/>
          <w:bCs/>
        </w:rPr>
        <w:t>17、存货</w:t>
      </w:r>
      <w:bookmarkEnd w:id="182"/>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1</w:t>
      </w:r>
      <w:r w:rsidRPr="002B59B9">
        <w:rPr>
          <w:rFonts w:cs="Times New Roman" w:hint="eastAsia"/>
          <w:color w:val="000000"/>
          <w:sz w:val="18"/>
          <w:szCs w:val="18"/>
        </w:rPr>
        <w:t>）存货的分类</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存货主要包括原材料、自制半成品、库存商品、周转材料等。</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2</w:t>
      </w:r>
      <w:r w:rsidRPr="002B59B9">
        <w:rPr>
          <w:rFonts w:cs="Times New Roman" w:hint="eastAsia"/>
          <w:color w:val="000000"/>
          <w:sz w:val="18"/>
          <w:szCs w:val="18"/>
        </w:rPr>
        <w:t>）存货取得和发出的计价方法</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存货在取得时按实际成本计价，存货成本包括采购成本、加工成本和其他成本。领用和发出时按加权平均法计价。</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3</w:t>
      </w:r>
      <w:r w:rsidRPr="002B59B9">
        <w:rPr>
          <w:rFonts w:cs="Times New Roman" w:hint="eastAsia"/>
          <w:color w:val="000000"/>
          <w:sz w:val="18"/>
          <w:szCs w:val="18"/>
        </w:rPr>
        <w:t>）存货可变现净值的确认和跌价准备的计提方法</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在资产负债表日，存货按照成本与可变现净值孰低计量。当其可变现净值低于成本时，提取存货跌价准备。存货跌价准备按单个存货项目的成本高于其可变现净值的差额提取。</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计提存货跌价准备后，如果</w:t>
      </w:r>
      <w:proofErr w:type="gramStart"/>
      <w:r w:rsidRPr="002B59B9">
        <w:rPr>
          <w:rFonts w:cs="Times New Roman" w:hint="eastAsia"/>
          <w:color w:val="000000"/>
          <w:sz w:val="18"/>
          <w:szCs w:val="18"/>
        </w:rPr>
        <w:t>以前减记</w:t>
      </w:r>
      <w:proofErr w:type="gramEnd"/>
      <w:r w:rsidRPr="002B59B9">
        <w:rPr>
          <w:rFonts w:cs="Times New Roman" w:hint="eastAsia"/>
          <w:color w:val="000000"/>
          <w:sz w:val="18"/>
          <w:szCs w:val="18"/>
        </w:rPr>
        <w:t>存货价值的影响因素已经消失，导致存货的可变现净值高于其账面价值的，在原已计提的存货跌价准备金额内予以转回，转回的金额计入当期损益。</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4</w:t>
      </w:r>
      <w:r w:rsidRPr="002B59B9">
        <w:rPr>
          <w:rFonts w:cs="Times New Roman" w:hint="eastAsia"/>
          <w:color w:val="000000"/>
          <w:sz w:val="18"/>
          <w:szCs w:val="18"/>
        </w:rPr>
        <w:t>）存货的盘存制度为永续盘存制。</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5</w:t>
      </w:r>
      <w:r w:rsidRPr="002B59B9">
        <w:rPr>
          <w:rFonts w:cs="Times New Roman" w:hint="eastAsia"/>
          <w:color w:val="000000"/>
          <w:sz w:val="18"/>
          <w:szCs w:val="18"/>
        </w:rPr>
        <w:t>）低值易耗品的摊销方法</w:t>
      </w:r>
    </w:p>
    <w:p w:rsidR="008D4B2E" w:rsidRPr="002B59B9" w:rsidRDefault="008D4B2E" w:rsidP="00B818D2">
      <w:pPr>
        <w:pStyle w:val="a3"/>
        <w:spacing w:before="0" w:beforeAutospacing="0" w:after="0" w:afterAutospacing="0"/>
        <w:ind w:firstLine="420"/>
        <w:divId w:val="2126926668"/>
        <w:rPr>
          <w:rFonts w:cs="Times New Roman"/>
          <w:color w:val="000000"/>
          <w:sz w:val="18"/>
          <w:szCs w:val="18"/>
        </w:rPr>
      </w:pPr>
      <w:r w:rsidRPr="002B59B9">
        <w:rPr>
          <w:rFonts w:cs="Times New Roman" w:hint="eastAsia"/>
          <w:color w:val="000000"/>
          <w:sz w:val="18"/>
          <w:szCs w:val="18"/>
        </w:rPr>
        <w:t>低值易耗品于领用时按一次摊销法摊销。</w:t>
      </w:r>
    </w:p>
    <w:p w:rsidR="00BA0365" w:rsidRDefault="008D4B2E" w:rsidP="00B818D2">
      <w:pPr>
        <w:pStyle w:val="3"/>
        <w:spacing w:line="240" w:lineRule="auto"/>
        <w:jc w:val="left"/>
        <w:rPr>
          <w:rFonts w:ascii="宋体" w:hAnsi="宋体" w:cs="宋体"/>
          <w:b/>
          <w:bCs/>
        </w:rPr>
      </w:pPr>
      <w:bookmarkStart w:id="183" w:name="_Toc989071"/>
      <w:r>
        <w:rPr>
          <w:rFonts w:ascii="宋体" w:hAnsi="宋体" w:cs="宋体"/>
          <w:b/>
          <w:bCs/>
        </w:rPr>
        <w:t>18、持有待售资产</w:t>
      </w:r>
      <w:bookmarkEnd w:id="183"/>
    </w:p>
    <w:p w:rsidR="008D4B2E" w:rsidRPr="002B59B9" w:rsidRDefault="008D4B2E" w:rsidP="00B818D2">
      <w:pPr>
        <w:pStyle w:val="a3"/>
        <w:spacing w:before="0" w:beforeAutospacing="0" w:after="0" w:afterAutospacing="0"/>
        <w:ind w:firstLineChars="200" w:firstLine="360"/>
        <w:divId w:val="1006858449"/>
        <w:rPr>
          <w:rFonts w:cs="Times New Roman"/>
          <w:color w:val="000000"/>
          <w:sz w:val="18"/>
          <w:szCs w:val="18"/>
        </w:rPr>
      </w:pPr>
      <w:r w:rsidRPr="002B59B9">
        <w:rPr>
          <w:rFonts w:cs="Times New Roman" w:hint="eastAsia"/>
          <w:color w:val="000000"/>
          <w:sz w:val="18"/>
          <w:szCs w:val="18"/>
        </w:rPr>
        <w:t>本公司若主要通过出售（包括具有商业实质的非货币性资产交换，下同）而非持续使用一项非流动资产或</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收回其账面价值的，则将其划分为持有待售类别。具体标准为同时满足以下条件：某项非流动资产或</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根据类似交易中出售此类资产或</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的惯例，在当前状况下即可立即出售；本公司已经就出售计划</w:t>
      </w:r>
      <w:proofErr w:type="gramStart"/>
      <w:r w:rsidRPr="002B59B9">
        <w:rPr>
          <w:rFonts w:cs="Times New Roman" w:hint="eastAsia"/>
          <w:color w:val="000000"/>
          <w:sz w:val="18"/>
          <w:szCs w:val="18"/>
        </w:rPr>
        <w:t>作出</w:t>
      </w:r>
      <w:proofErr w:type="gramEnd"/>
      <w:r w:rsidRPr="002B59B9">
        <w:rPr>
          <w:rFonts w:cs="Times New Roman" w:hint="eastAsia"/>
          <w:color w:val="000000"/>
          <w:sz w:val="18"/>
          <w:szCs w:val="18"/>
        </w:rPr>
        <w:t>决议且获得确定的购买承诺；预计出售将在一年内完成。其中，</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是指在一项交易中作为整体通过出售或其他方式一并处置的一组资产，以及在该交易中转让的与这些资产直接相关的负债。</w:t>
      </w:r>
      <w:proofErr w:type="gramStart"/>
      <w:r w:rsidRPr="002B59B9">
        <w:rPr>
          <w:rFonts w:cs="Times New Roman" w:hint="eastAsia"/>
          <w:color w:val="000000"/>
          <w:sz w:val="18"/>
          <w:szCs w:val="18"/>
        </w:rPr>
        <w:t>处置组所属</w:t>
      </w:r>
      <w:proofErr w:type="gramEnd"/>
      <w:r w:rsidRPr="002B59B9">
        <w:rPr>
          <w:rFonts w:cs="Times New Roman" w:hint="eastAsia"/>
          <w:color w:val="000000"/>
          <w:sz w:val="18"/>
          <w:szCs w:val="18"/>
        </w:rPr>
        <w:t>的资产组或资产组组合按照《企业会计准则第</w:t>
      </w:r>
      <w:r w:rsidRPr="002B59B9">
        <w:rPr>
          <w:rFonts w:cs="Times New Roman"/>
          <w:color w:val="000000"/>
          <w:sz w:val="18"/>
          <w:szCs w:val="18"/>
        </w:rPr>
        <w:t xml:space="preserve"> 8 </w:t>
      </w:r>
      <w:r w:rsidRPr="002B59B9">
        <w:rPr>
          <w:rFonts w:cs="Times New Roman" w:hint="eastAsia"/>
          <w:color w:val="000000"/>
          <w:sz w:val="18"/>
          <w:szCs w:val="18"/>
        </w:rPr>
        <w:t>号</w:t>
      </w:r>
      <w:r w:rsidRPr="002B59B9">
        <w:rPr>
          <w:rFonts w:cs="Times New Roman"/>
          <w:color w:val="000000"/>
          <w:sz w:val="18"/>
          <w:szCs w:val="18"/>
        </w:rPr>
        <w:t>——</w:t>
      </w:r>
      <w:r w:rsidRPr="002B59B9">
        <w:rPr>
          <w:rFonts w:cs="Times New Roman" w:hint="eastAsia"/>
          <w:color w:val="000000"/>
          <w:sz w:val="18"/>
          <w:szCs w:val="18"/>
        </w:rPr>
        <w:t>资产减值》分摊了企业合并中取得的商誉的，该</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应当包含分摊至</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的商誉。</w:t>
      </w:r>
    </w:p>
    <w:p w:rsidR="008D4B2E" w:rsidRPr="002B59B9" w:rsidRDefault="008D4B2E" w:rsidP="00B818D2">
      <w:pPr>
        <w:pStyle w:val="a3"/>
        <w:spacing w:before="0" w:beforeAutospacing="0" w:after="0" w:afterAutospacing="0"/>
        <w:ind w:firstLineChars="200" w:firstLine="360"/>
        <w:divId w:val="1006858449"/>
        <w:rPr>
          <w:rFonts w:cs="Times New Roman"/>
          <w:color w:val="000000"/>
          <w:sz w:val="18"/>
          <w:szCs w:val="18"/>
        </w:rPr>
      </w:pPr>
      <w:r w:rsidRPr="002B59B9">
        <w:rPr>
          <w:rFonts w:cs="Times New Roman" w:hint="eastAsia"/>
          <w:color w:val="000000"/>
          <w:sz w:val="18"/>
          <w:szCs w:val="18"/>
        </w:rPr>
        <w:t>本公司初始计量或在资产负债表日重新计量划分为持有待售的非流动资产和</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时，其账面价值高于公允价值减去出售费用后的净额的，将账面价值</w:t>
      </w:r>
      <w:proofErr w:type="gramStart"/>
      <w:r w:rsidRPr="002B59B9">
        <w:rPr>
          <w:rFonts w:cs="Times New Roman" w:hint="eastAsia"/>
          <w:color w:val="000000"/>
          <w:sz w:val="18"/>
          <w:szCs w:val="18"/>
        </w:rPr>
        <w:t>减记至</w:t>
      </w:r>
      <w:proofErr w:type="gramEnd"/>
      <w:r w:rsidRPr="002B59B9">
        <w:rPr>
          <w:rFonts w:cs="Times New Roman" w:hint="eastAsia"/>
          <w:color w:val="000000"/>
          <w:sz w:val="18"/>
          <w:szCs w:val="18"/>
        </w:rPr>
        <w:t>公允价值减去出售费用后的净额，</w:t>
      </w:r>
      <w:proofErr w:type="gramStart"/>
      <w:r w:rsidRPr="002B59B9">
        <w:rPr>
          <w:rFonts w:cs="Times New Roman" w:hint="eastAsia"/>
          <w:color w:val="000000"/>
          <w:sz w:val="18"/>
          <w:szCs w:val="18"/>
        </w:rPr>
        <w:t>减记的</w:t>
      </w:r>
      <w:proofErr w:type="gramEnd"/>
      <w:r w:rsidRPr="002B59B9">
        <w:rPr>
          <w:rFonts w:cs="Times New Roman" w:hint="eastAsia"/>
          <w:color w:val="000000"/>
          <w:sz w:val="18"/>
          <w:szCs w:val="18"/>
        </w:rPr>
        <w:t>金额确认为资产减值损失，计入当期损益，同时计提持有待售资产减值准备。对于处置组，所确认的资产减值损失先抵减处置组中商誉的账面价值，再按比例抵减该处置组内适用《企业会计准则第</w:t>
      </w:r>
      <w:r w:rsidRPr="002B59B9">
        <w:rPr>
          <w:rFonts w:cs="Times New Roman"/>
          <w:color w:val="000000"/>
          <w:sz w:val="18"/>
          <w:szCs w:val="18"/>
        </w:rPr>
        <w:t>42</w:t>
      </w:r>
      <w:r w:rsidRPr="002B59B9">
        <w:rPr>
          <w:rFonts w:cs="Times New Roman" w:hint="eastAsia"/>
          <w:color w:val="000000"/>
          <w:sz w:val="18"/>
          <w:szCs w:val="18"/>
        </w:rPr>
        <w:t>号</w:t>
      </w:r>
      <w:r w:rsidRPr="002B59B9">
        <w:rPr>
          <w:rFonts w:cs="Times New Roman"/>
          <w:color w:val="000000"/>
          <w:sz w:val="18"/>
          <w:szCs w:val="18"/>
        </w:rPr>
        <w:t>——</w:t>
      </w:r>
      <w:r w:rsidRPr="002B59B9">
        <w:rPr>
          <w:rFonts w:cs="Times New Roman" w:hint="eastAsia"/>
          <w:color w:val="000000"/>
          <w:sz w:val="18"/>
          <w:szCs w:val="18"/>
        </w:rPr>
        <w:t>持有待售的非流动资产、处置组和终止经营》（以下简称</w:t>
      </w:r>
      <w:r w:rsidRPr="002B59B9">
        <w:rPr>
          <w:rFonts w:cs="Times New Roman"/>
          <w:color w:val="000000"/>
          <w:sz w:val="18"/>
          <w:szCs w:val="18"/>
        </w:rPr>
        <w:t>“</w:t>
      </w:r>
      <w:r w:rsidRPr="002B59B9">
        <w:rPr>
          <w:rFonts w:cs="Times New Roman" w:hint="eastAsia"/>
          <w:color w:val="000000"/>
          <w:sz w:val="18"/>
          <w:szCs w:val="18"/>
        </w:rPr>
        <w:t>持有待售准则</w:t>
      </w:r>
      <w:r w:rsidRPr="002B59B9">
        <w:rPr>
          <w:rFonts w:cs="Times New Roman"/>
          <w:color w:val="000000"/>
          <w:sz w:val="18"/>
          <w:szCs w:val="18"/>
        </w:rPr>
        <w:t>”</w:t>
      </w:r>
      <w:r w:rsidRPr="002B59B9">
        <w:rPr>
          <w:rFonts w:cs="Times New Roman" w:hint="eastAsia"/>
          <w:color w:val="000000"/>
          <w:sz w:val="18"/>
          <w:szCs w:val="18"/>
        </w:rPr>
        <w:t>）的计量规定的各项非流动资产的账面价值。后续资产负债表日持有待售的</w:t>
      </w:r>
      <w:proofErr w:type="gramStart"/>
      <w:r w:rsidRPr="002B59B9">
        <w:rPr>
          <w:rFonts w:cs="Times New Roman" w:hint="eastAsia"/>
          <w:color w:val="000000"/>
          <w:sz w:val="18"/>
          <w:szCs w:val="18"/>
        </w:rPr>
        <w:t>处置组</w:t>
      </w:r>
      <w:proofErr w:type="gramEnd"/>
      <w:r w:rsidRPr="002B59B9">
        <w:rPr>
          <w:rFonts w:cs="Times New Roman" w:hint="eastAsia"/>
          <w:color w:val="000000"/>
          <w:sz w:val="18"/>
          <w:szCs w:val="18"/>
        </w:rPr>
        <w:t>公允价值减去出售费用后的净额增加的，</w:t>
      </w:r>
      <w:proofErr w:type="gramStart"/>
      <w:r w:rsidRPr="002B59B9">
        <w:rPr>
          <w:rFonts w:cs="Times New Roman" w:hint="eastAsia"/>
          <w:color w:val="000000"/>
          <w:sz w:val="18"/>
          <w:szCs w:val="18"/>
        </w:rPr>
        <w:t>以前减记</w:t>
      </w:r>
      <w:proofErr w:type="gramEnd"/>
      <w:r w:rsidRPr="002B59B9">
        <w:rPr>
          <w:rFonts w:cs="Times New Roman" w:hint="eastAsia"/>
          <w:color w:val="000000"/>
          <w:sz w:val="18"/>
          <w:szCs w:val="18"/>
        </w:rPr>
        <w:t>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8D4B2E" w:rsidRPr="002B59B9" w:rsidRDefault="008D4B2E" w:rsidP="00B818D2">
      <w:pPr>
        <w:pStyle w:val="a3"/>
        <w:spacing w:before="0" w:beforeAutospacing="0" w:after="0" w:afterAutospacing="0"/>
        <w:ind w:firstLineChars="200" w:firstLine="360"/>
        <w:divId w:val="1006858449"/>
        <w:rPr>
          <w:rFonts w:cs="Times New Roman"/>
          <w:color w:val="000000"/>
          <w:sz w:val="18"/>
          <w:szCs w:val="18"/>
        </w:rPr>
      </w:pPr>
      <w:r w:rsidRPr="002B59B9">
        <w:rPr>
          <w:rFonts w:cs="Times New Roman" w:hint="eastAsia"/>
          <w:color w:val="000000"/>
          <w:sz w:val="18"/>
          <w:szCs w:val="18"/>
        </w:rPr>
        <w:t>持有待售的非流动资产或处置组中的非流动资产不计提折旧或摊销，持有待售的处置组中负债的利息和其他费用继续予以确认。</w:t>
      </w:r>
    </w:p>
    <w:p w:rsidR="008D4B2E" w:rsidRPr="002B59B9" w:rsidRDefault="008D4B2E" w:rsidP="00B818D2">
      <w:pPr>
        <w:pStyle w:val="a3"/>
        <w:spacing w:before="0" w:beforeAutospacing="0" w:after="0" w:afterAutospacing="0"/>
        <w:ind w:firstLineChars="200" w:firstLine="360"/>
        <w:divId w:val="1006858449"/>
        <w:rPr>
          <w:rFonts w:cs="Times New Roman"/>
          <w:color w:val="000000"/>
          <w:sz w:val="18"/>
          <w:szCs w:val="18"/>
        </w:rPr>
      </w:pPr>
      <w:r w:rsidRPr="002B59B9">
        <w:rPr>
          <w:rFonts w:cs="Times New Roman" w:hint="eastAsia"/>
          <w:color w:val="000000"/>
          <w:sz w:val="18"/>
          <w:szCs w:val="18"/>
        </w:rPr>
        <w:t>非流动资产或</w:t>
      </w:r>
      <w:proofErr w:type="gramStart"/>
      <w:r w:rsidRPr="002B59B9">
        <w:rPr>
          <w:rFonts w:cs="Times New Roman" w:hint="eastAsia"/>
          <w:color w:val="000000"/>
          <w:sz w:val="18"/>
          <w:szCs w:val="18"/>
        </w:rPr>
        <w:t>处置组不再</w:t>
      </w:r>
      <w:proofErr w:type="gramEnd"/>
      <w:r w:rsidRPr="002B59B9">
        <w:rPr>
          <w:rFonts w:cs="Times New Roman" w:hint="eastAsia"/>
          <w:color w:val="000000"/>
          <w:sz w:val="18"/>
          <w:szCs w:val="18"/>
        </w:rPr>
        <w:t>满足持有待售类别的划分条件时，本公司不再将其继续划分为持有待售类别或将非流动资产从持有待售的处置组中移除，并按照以下两者孰低计量：（</w:t>
      </w:r>
      <w:r w:rsidRPr="002B59B9">
        <w:rPr>
          <w:rFonts w:cs="Times New Roman"/>
          <w:color w:val="000000"/>
          <w:sz w:val="18"/>
          <w:szCs w:val="18"/>
        </w:rPr>
        <w:t>1</w:t>
      </w:r>
      <w:r w:rsidRPr="002B59B9">
        <w:rPr>
          <w:rFonts w:cs="Times New Roman" w:hint="eastAsia"/>
          <w:color w:val="000000"/>
          <w:sz w:val="18"/>
          <w:szCs w:val="18"/>
        </w:rPr>
        <w:t>）划分为持有待售类别前的账面价值，按照假定不划分为持有待售类别情况下本应确认的折旧、摊销或减值等进行调整后的金额；（</w:t>
      </w:r>
      <w:r w:rsidRPr="002B59B9">
        <w:rPr>
          <w:rFonts w:cs="Times New Roman"/>
          <w:color w:val="000000"/>
          <w:sz w:val="18"/>
          <w:szCs w:val="18"/>
        </w:rPr>
        <w:t>2</w:t>
      </w:r>
      <w:r w:rsidRPr="002B59B9">
        <w:rPr>
          <w:rFonts w:cs="Times New Roman" w:hint="eastAsia"/>
          <w:color w:val="000000"/>
          <w:sz w:val="18"/>
          <w:szCs w:val="18"/>
        </w:rPr>
        <w:t>）可收回金额。</w:t>
      </w:r>
    </w:p>
    <w:p w:rsidR="00BA0365" w:rsidRDefault="008D4B2E" w:rsidP="00B818D2">
      <w:pPr>
        <w:pStyle w:val="3"/>
        <w:spacing w:line="240" w:lineRule="auto"/>
        <w:jc w:val="left"/>
        <w:rPr>
          <w:rFonts w:ascii="宋体" w:hAnsi="宋体" w:cs="宋体"/>
          <w:b/>
          <w:bCs/>
        </w:rPr>
      </w:pPr>
      <w:bookmarkStart w:id="184" w:name="_Toc989072"/>
      <w:r>
        <w:rPr>
          <w:rFonts w:ascii="宋体" w:hAnsi="宋体" w:cs="宋体"/>
          <w:b/>
          <w:bCs/>
        </w:rPr>
        <w:lastRenderedPageBreak/>
        <w:t>19、债权投资</w:t>
      </w:r>
      <w:bookmarkEnd w:id="184"/>
    </w:p>
    <w:p w:rsidR="008D4B2E" w:rsidRDefault="008D4B2E" w:rsidP="00B818D2">
      <w:pPr>
        <w:pStyle w:val="a3"/>
        <w:divId w:val="452360895"/>
        <w:rPr>
          <w:sz w:val="18"/>
          <w:szCs w:val="18"/>
        </w:rPr>
      </w:pPr>
      <w:r>
        <w:rPr>
          <w:rFonts w:hint="eastAsia"/>
          <w:sz w:val="18"/>
          <w:szCs w:val="18"/>
        </w:rPr>
        <w:t>详见“金融工具”。</w:t>
      </w:r>
    </w:p>
    <w:p w:rsidR="00BA0365" w:rsidRDefault="008D4B2E" w:rsidP="00B818D2">
      <w:pPr>
        <w:pStyle w:val="3"/>
        <w:spacing w:line="240" w:lineRule="auto"/>
        <w:jc w:val="left"/>
        <w:rPr>
          <w:rFonts w:ascii="宋体" w:hAnsi="宋体" w:cs="宋体"/>
          <w:b/>
          <w:bCs/>
        </w:rPr>
      </w:pPr>
      <w:bookmarkStart w:id="185" w:name="_Toc989073"/>
      <w:r>
        <w:rPr>
          <w:rFonts w:ascii="宋体" w:hAnsi="宋体" w:cs="宋体"/>
          <w:b/>
          <w:bCs/>
        </w:rPr>
        <w:t>20、其他债权投资</w:t>
      </w:r>
      <w:bookmarkEnd w:id="185"/>
    </w:p>
    <w:p w:rsidR="008D4B2E" w:rsidRDefault="008D4B2E" w:rsidP="00B818D2">
      <w:pPr>
        <w:pStyle w:val="a3"/>
        <w:divId w:val="686248230"/>
        <w:rPr>
          <w:sz w:val="18"/>
          <w:szCs w:val="18"/>
        </w:rPr>
      </w:pPr>
      <w:r>
        <w:rPr>
          <w:rFonts w:hint="eastAsia"/>
          <w:sz w:val="18"/>
          <w:szCs w:val="18"/>
        </w:rPr>
        <w:t>详见“金融工具”。</w:t>
      </w:r>
    </w:p>
    <w:p w:rsidR="00BA0365" w:rsidRDefault="008D4B2E" w:rsidP="00B818D2">
      <w:pPr>
        <w:pStyle w:val="3"/>
        <w:spacing w:line="240" w:lineRule="auto"/>
        <w:jc w:val="left"/>
        <w:rPr>
          <w:rFonts w:ascii="宋体" w:hAnsi="宋体" w:cs="宋体"/>
          <w:b/>
          <w:bCs/>
        </w:rPr>
      </w:pPr>
      <w:bookmarkStart w:id="186" w:name="_Toc989074"/>
      <w:r>
        <w:rPr>
          <w:rFonts w:ascii="宋体" w:hAnsi="宋体" w:cs="宋体"/>
          <w:b/>
          <w:bCs/>
        </w:rPr>
        <w:t>21、长期股权投资</w:t>
      </w:r>
      <w:bookmarkEnd w:id="186"/>
    </w:p>
    <w:p w:rsidR="008D4B2E" w:rsidRPr="002B59B9"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本部分所指的长期股权投资是指本公司对被投资单位具有控制、共同控制或重大影响的长期股权投资。本公司对被投资单位不具有控制、共同控制或重大影响的长期股权投资，作为以公允价值计量且其变动计入当期损益的金融资产核算，其中如果属于</w:t>
      </w:r>
      <w:proofErr w:type="gramStart"/>
      <w:r w:rsidRPr="002B59B9">
        <w:rPr>
          <w:rFonts w:cs="Times New Roman" w:hint="eastAsia"/>
          <w:color w:val="000000"/>
          <w:sz w:val="18"/>
          <w:szCs w:val="18"/>
        </w:rPr>
        <w:t>非交易</w:t>
      </w:r>
      <w:proofErr w:type="gramEnd"/>
      <w:r w:rsidRPr="002B59B9">
        <w:rPr>
          <w:rFonts w:cs="Times New Roman" w:hint="eastAsia"/>
          <w:color w:val="000000"/>
          <w:sz w:val="18"/>
          <w:szCs w:val="18"/>
        </w:rPr>
        <w:t>性的，本公司在初始确认时可选择将其指定为以公允价值计量且其变动计入其他综合收益的金融资产核算，其会计政策详见附注四、</w:t>
      </w:r>
      <w:r w:rsidRPr="002B59B9">
        <w:rPr>
          <w:rFonts w:cs="Times New Roman"/>
          <w:color w:val="000000"/>
          <w:sz w:val="18"/>
          <w:szCs w:val="18"/>
        </w:rPr>
        <w:t>“</w:t>
      </w:r>
      <w:r w:rsidRPr="002B59B9">
        <w:rPr>
          <w:rFonts w:cs="Times New Roman" w:hint="eastAsia"/>
          <w:color w:val="000000"/>
          <w:sz w:val="18"/>
          <w:szCs w:val="18"/>
        </w:rPr>
        <w:t>金融工具</w:t>
      </w:r>
      <w:r w:rsidRPr="002B59B9">
        <w:rPr>
          <w:rFonts w:cs="Times New Roman"/>
          <w:color w:val="000000"/>
          <w:sz w:val="18"/>
          <w:szCs w:val="18"/>
        </w:rPr>
        <w:t>”</w:t>
      </w:r>
      <w:r w:rsidRPr="002B59B9">
        <w:rPr>
          <w:rFonts w:cs="Times New Roman" w:hint="eastAsia"/>
          <w:color w:val="000000"/>
          <w:sz w:val="18"/>
          <w:szCs w:val="18"/>
        </w:rPr>
        <w:t>。</w:t>
      </w:r>
    </w:p>
    <w:p w:rsidR="008D4B2E" w:rsidRPr="002B59B9"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8D4B2E" w:rsidRPr="002B59B9"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1</w:t>
      </w:r>
      <w:r w:rsidRPr="002B59B9">
        <w:rPr>
          <w:rFonts w:cs="Times New Roman" w:hint="eastAsia"/>
          <w:color w:val="000000"/>
          <w:sz w:val="18"/>
          <w:szCs w:val="18"/>
        </w:rPr>
        <w:t>）投资成本的确定</w:t>
      </w:r>
    </w:p>
    <w:p w:rsidR="00B818D2"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对于同</w:t>
      </w:r>
      <w:proofErr w:type="gramStart"/>
      <w:r w:rsidRPr="002B59B9">
        <w:rPr>
          <w:rFonts w:cs="Times New Roman" w:hint="eastAsia"/>
          <w:color w:val="000000"/>
          <w:sz w:val="18"/>
          <w:szCs w:val="18"/>
        </w:rPr>
        <w:t>一控制</w:t>
      </w:r>
      <w:proofErr w:type="gramEnd"/>
      <w:r w:rsidRPr="002B59B9">
        <w:rPr>
          <w:rFonts w:cs="Times New Roman" w:hint="eastAsia"/>
          <w:color w:val="000000"/>
          <w:sz w:val="18"/>
          <w:szCs w:val="18"/>
        </w:rPr>
        <w:t>下的企业合并取得的长期股权投资，在</w:t>
      </w:r>
      <w:proofErr w:type="gramStart"/>
      <w:r w:rsidRPr="002B59B9">
        <w:rPr>
          <w:rFonts w:cs="Times New Roman" w:hint="eastAsia"/>
          <w:color w:val="000000"/>
          <w:sz w:val="18"/>
          <w:szCs w:val="18"/>
        </w:rPr>
        <w:t>合并日按照</w:t>
      </w:r>
      <w:proofErr w:type="gramEnd"/>
      <w:r w:rsidRPr="002B59B9">
        <w:rPr>
          <w:rFonts w:cs="Times New Roman" w:hint="eastAsia"/>
          <w:color w:val="000000"/>
          <w:sz w:val="18"/>
          <w:szCs w:val="18"/>
        </w:rPr>
        <w:t>被合并方股东权益在最终控制方合并财务报表中的账面价值的份额作为长期股权投资的初始投资成本。长期股权投资初始投资成本与支付的现金、转让的非现金资产以及所承担债务账面价值之间的差额，调整资本公积；资本公</w:t>
      </w:r>
      <w:proofErr w:type="gramStart"/>
      <w:r w:rsidRPr="002B59B9">
        <w:rPr>
          <w:rFonts w:cs="Times New Roman" w:hint="eastAsia"/>
          <w:color w:val="000000"/>
          <w:sz w:val="18"/>
          <w:szCs w:val="18"/>
        </w:rPr>
        <w:t>积不足</w:t>
      </w:r>
      <w:proofErr w:type="gramEnd"/>
      <w:r w:rsidRPr="002B59B9">
        <w:rPr>
          <w:rFonts w:cs="Times New Roman" w:hint="eastAsia"/>
          <w:color w:val="000000"/>
          <w:sz w:val="18"/>
          <w:szCs w:val="18"/>
        </w:rPr>
        <w:t>冲减的，调整留存收益。以发行权益</w:t>
      </w:r>
      <w:proofErr w:type="gramStart"/>
      <w:r w:rsidRPr="002B59B9">
        <w:rPr>
          <w:rFonts w:cs="Times New Roman" w:hint="eastAsia"/>
          <w:color w:val="000000"/>
          <w:sz w:val="18"/>
          <w:szCs w:val="18"/>
        </w:rPr>
        <w:t>性证券</w:t>
      </w:r>
      <w:proofErr w:type="gramEnd"/>
      <w:r w:rsidRPr="002B59B9">
        <w:rPr>
          <w:rFonts w:cs="Times New Roman" w:hint="eastAsia"/>
          <w:color w:val="000000"/>
          <w:sz w:val="18"/>
          <w:szCs w:val="18"/>
        </w:rPr>
        <w:t>作为合并对价的，在</w:t>
      </w:r>
      <w:proofErr w:type="gramStart"/>
      <w:r w:rsidRPr="002B59B9">
        <w:rPr>
          <w:rFonts w:cs="Times New Roman" w:hint="eastAsia"/>
          <w:color w:val="000000"/>
          <w:sz w:val="18"/>
          <w:szCs w:val="18"/>
        </w:rPr>
        <w:t>合并日按照</w:t>
      </w:r>
      <w:proofErr w:type="gramEnd"/>
      <w:r w:rsidRPr="002B59B9">
        <w:rPr>
          <w:rFonts w:cs="Times New Roman" w:hint="eastAsia"/>
          <w:color w:val="000000"/>
          <w:sz w:val="18"/>
          <w:szCs w:val="18"/>
        </w:rPr>
        <w:t>被合并方股东权益在最终控制方合并财务报表中的账面价值的份额作为长期股权投资的初始投资成本，按照发行股份的面值总额作为股本，长期股权投资初始投资成本与所发行股份面值总额之间的差额，调整资本公积；资本公</w:t>
      </w:r>
      <w:proofErr w:type="gramStart"/>
      <w:r w:rsidRPr="002B59B9">
        <w:rPr>
          <w:rFonts w:cs="Times New Roman" w:hint="eastAsia"/>
          <w:color w:val="000000"/>
          <w:sz w:val="18"/>
          <w:szCs w:val="18"/>
        </w:rPr>
        <w:t>积不足</w:t>
      </w:r>
      <w:proofErr w:type="gramEnd"/>
      <w:r w:rsidRPr="002B59B9">
        <w:rPr>
          <w:rFonts w:cs="Times New Roman" w:hint="eastAsia"/>
          <w:color w:val="000000"/>
          <w:sz w:val="18"/>
          <w:szCs w:val="18"/>
        </w:rPr>
        <w:t>冲减的，调整留存收益。通过多次交易分步取得同</w:t>
      </w:r>
      <w:proofErr w:type="gramStart"/>
      <w:r w:rsidRPr="002B59B9">
        <w:rPr>
          <w:rFonts w:cs="Times New Roman" w:hint="eastAsia"/>
          <w:color w:val="000000"/>
          <w:sz w:val="18"/>
          <w:szCs w:val="18"/>
        </w:rPr>
        <w:t>一控制</w:t>
      </w:r>
      <w:proofErr w:type="gramEnd"/>
      <w:r w:rsidRPr="002B59B9">
        <w:rPr>
          <w:rFonts w:cs="Times New Roman" w:hint="eastAsia"/>
          <w:color w:val="000000"/>
          <w:sz w:val="18"/>
          <w:szCs w:val="18"/>
        </w:rPr>
        <w:t>下被合并方的股权，最终形成同</w:t>
      </w:r>
      <w:proofErr w:type="gramStart"/>
      <w:r w:rsidRPr="002B59B9">
        <w:rPr>
          <w:rFonts w:cs="Times New Roman" w:hint="eastAsia"/>
          <w:color w:val="000000"/>
          <w:sz w:val="18"/>
          <w:szCs w:val="18"/>
        </w:rPr>
        <w:t>一控制</w:t>
      </w:r>
      <w:proofErr w:type="gramEnd"/>
      <w:r w:rsidRPr="002B59B9">
        <w:rPr>
          <w:rFonts w:cs="Times New Roman" w:hint="eastAsia"/>
          <w:color w:val="000000"/>
          <w:sz w:val="18"/>
          <w:szCs w:val="18"/>
        </w:rPr>
        <w:t>下企业合并的，应分别是否属于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进行处理：属于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的，将各项交易作为一项取得控制权的交易进行会计处理。不属于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的，在</w:t>
      </w:r>
      <w:proofErr w:type="gramStart"/>
      <w:r w:rsidRPr="002B59B9">
        <w:rPr>
          <w:rFonts w:cs="Times New Roman" w:hint="eastAsia"/>
          <w:color w:val="000000"/>
          <w:sz w:val="18"/>
          <w:szCs w:val="18"/>
        </w:rPr>
        <w:t>合并日</w:t>
      </w:r>
      <w:proofErr w:type="gramEnd"/>
      <w:r w:rsidRPr="002B59B9">
        <w:rPr>
          <w:rFonts w:cs="Times New Roman" w:hint="eastAsia"/>
          <w:color w:val="000000"/>
          <w:sz w:val="18"/>
          <w:szCs w:val="18"/>
        </w:rPr>
        <w:t>按照应享有被合并方股东权益在最终控制方合并财务报表中的账面价值的份额作为长期股权投资的初始投资成本，长期股权投资初始投资成本与达到合并前的长期股权投资账面价值加上</w:t>
      </w:r>
      <w:proofErr w:type="gramStart"/>
      <w:r w:rsidRPr="002B59B9">
        <w:rPr>
          <w:rFonts w:cs="Times New Roman" w:hint="eastAsia"/>
          <w:color w:val="000000"/>
          <w:sz w:val="18"/>
          <w:szCs w:val="18"/>
        </w:rPr>
        <w:t>合并日</w:t>
      </w:r>
      <w:proofErr w:type="gramEnd"/>
      <w:r w:rsidRPr="002B59B9">
        <w:rPr>
          <w:rFonts w:cs="Times New Roman" w:hint="eastAsia"/>
          <w:color w:val="000000"/>
          <w:sz w:val="18"/>
          <w:szCs w:val="18"/>
        </w:rPr>
        <w:t>进一步取得股份新支付对价的账面价值之和的差额，调整资本公积；资本公</w:t>
      </w:r>
      <w:proofErr w:type="gramStart"/>
      <w:r w:rsidRPr="002B59B9">
        <w:rPr>
          <w:rFonts w:cs="Times New Roman" w:hint="eastAsia"/>
          <w:color w:val="000000"/>
          <w:sz w:val="18"/>
          <w:szCs w:val="18"/>
        </w:rPr>
        <w:t>积不足</w:t>
      </w:r>
      <w:proofErr w:type="gramEnd"/>
      <w:r w:rsidRPr="002B59B9">
        <w:rPr>
          <w:rFonts w:cs="Times New Roman" w:hint="eastAsia"/>
          <w:color w:val="000000"/>
          <w:sz w:val="18"/>
          <w:szCs w:val="18"/>
        </w:rPr>
        <w:t>冲减的，调整留存收益。</w:t>
      </w:r>
      <w:proofErr w:type="gramStart"/>
      <w:r w:rsidRPr="002B59B9">
        <w:rPr>
          <w:rFonts w:cs="Times New Roman" w:hint="eastAsia"/>
          <w:color w:val="000000"/>
          <w:sz w:val="18"/>
          <w:szCs w:val="18"/>
        </w:rPr>
        <w:t>合并日</w:t>
      </w:r>
      <w:proofErr w:type="gramEnd"/>
      <w:r w:rsidRPr="002B59B9">
        <w:rPr>
          <w:rFonts w:cs="Times New Roman" w:hint="eastAsia"/>
          <w:color w:val="000000"/>
          <w:sz w:val="18"/>
          <w:szCs w:val="18"/>
        </w:rPr>
        <w:t>之前持有的股权投资因采用权益法核算或作为以公允价值计量且其变动计入其他综合收益的金融资产而确认的其他综合收益，暂不进行会计处理。</w:t>
      </w:r>
    </w:p>
    <w:p w:rsidR="00B818D2"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对于非同</w:t>
      </w:r>
      <w:proofErr w:type="gramStart"/>
      <w:r w:rsidRPr="002B59B9">
        <w:rPr>
          <w:rFonts w:cs="Times New Roman" w:hint="eastAsia"/>
          <w:color w:val="000000"/>
          <w:sz w:val="18"/>
          <w:szCs w:val="18"/>
        </w:rPr>
        <w:t>一控制</w:t>
      </w:r>
      <w:proofErr w:type="gramEnd"/>
      <w:r w:rsidRPr="002B59B9">
        <w:rPr>
          <w:rFonts w:cs="Times New Roman" w:hint="eastAsia"/>
          <w:color w:val="000000"/>
          <w:sz w:val="18"/>
          <w:szCs w:val="18"/>
        </w:rPr>
        <w:t>下的企业合并取得的长期股权投资，在购买</w:t>
      </w:r>
      <w:proofErr w:type="gramStart"/>
      <w:r w:rsidRPr="002B59B9">
        <w:rPr>
          <w:rFonts w:cs="Times New Roman" w:hint="eastAsia"/>
          <w:color w:val="000000"/>
          <w:sz w:val="18"/>
          <w:szCs w:val="18"/>
        </w:rPr>
        <w:t>日按照</w:t>
      </w:r>
      <w:proofErr w:type="gramEnd"/>
      <w:r w:rsidRPr="002B59B9">
        <w:rPr>
          <w:rFonts w:cs="Times New Roman" w:hint="eastAsia"/>
          <w:color w:val="000000"/>
          <w:sz w:val="18"/>
          <w:szCs w:val="18"/>
        </w:rPr>
        <w:t>合并成本作为长期股权投资的初始投资成本，合并成本包括购买方付出的资产、发生或承担的负债、发行的权益</w:t>
      </w:r>
      <w:proofErr w:type="gramStart"/>
      <w:r w:rsidRPr="002B59B9">
        <w:rPr>
          <w:rFonts w:cs="Times New Roman" w:hint="eastAsia"/>
          <w:color w:val="000000"/>
          <w:sz w:val="18"/>
          <w:szCs w:val="18"/>
        </w:rPr>
        <w:t>性证券</w:t>
      </w:r>
      <w:proofErr w:type="gramEnd"/>
      <w:r w:rsidRPr="002B59B9">
        <w:rPr>
          <w:rFonts w:cs="Times New Roman" w:hint="eastAsia"/>
          <w:color w:val="000000"/>
          <w:sz w:val="18"/>
          <w:szCs w:val="18"/>
        </w:rPr>
        <w:t>的公允价值之</w:t>
      </w:r>
      <w:proofErr w:type="gramStart"/>
      <w:r w:rsidRPr="002B59B9">
        <w:rPr>
          <w:rFonts w:cs="Times New Roman" w:hint="eastAsia"/>
          <w:color w:val="000000"/>
          <w:sz w:val="18"/>
          <w:szCs w:val="18"/>
        </w:rPr>
        <w:t>和</w:t>
      </w:r>
      <w:proofErr w:type="gramEnd"/>
      <w:r w:rsidRPr="002B59B9">
        <w:rPr>
          <w:rFonts w:cs="Times New Roman" w:hint="eastAsia"/>
          <w:color w:val="000000"/>
          <w:sz w:val="18"/>
          <w:szCs w:val="18"/>
        </w:rPr>
        <w:t>。通过多次交易分步取得被购买方的股权，最终形成非同</w:t>
      </w:r>
      <w:proofErr w:type="gramStart"/>
      <w:r w:rsidRPr="002B59B9">
        <w:rPr>
          <w:rFonts w:cs="Times New Roman" w:hint="eastAsia"/>
          <w:color w:val="000000"/>
          <w:sz w:val="18"/>
          <w:szCs w:val="18"/>
        </w:rPr>
        <w:t>一控制</w:t>
      </w:r>
      <w:proofErr w:type="gramEnd"/>
      <w:r w:rsidRPr="002B59B9">
        <w:rPr>
          <w:rFonts w:cs="Times New Roman" w:hint="eastAsia"/>
          <w:color w:val="000000"/>
          <w:sz w:val="18"/>
          <w:szCs w:val="18"/>
        </w:rPr>
        <w:t>下的企业合并的，应分别是否属于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进行处理：属于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的，将各项交易作为一项取得控制权的交易进行会计处理。不属于</w:t>
      </w:r>
      <w:r w:rsidRPr="002B59B9">
        <w:rPr>
          <w:rFonts w:cs="Times New Roman"/>
          <w:color w:val="000000"/>
          <w:sz w:val="18"/>
          <w:szCs w:val="18"/>
        </w:rPr>
        <w:t>“</w:t>
      </w:r>
      <w:r w:rsidRPr="002B59B9">
        <w:rPr>
          <w:rFonts w:cs="Times New Roman" w:hint="eastAsia"/>
          <w:color w:val="000000"/>
          <w:sz w:val="18"/>
          <w:szCs w:val="18"/>
        </w:rPr>
        <w:t>一揽子交易</w:t>
      </w:r>
      <w:r w:rsidRPr="002B59B9">
        <w:rPr>
          <w:rFonts w:cs="Times New Roman"/>
          <w:color w:val="000000"/>
          <w:sz w:val="18"/>
          <w:szCs w:val="18"/>
        </w:rPr>
        <w:t>”</w:t>
      </w:r>
      <w:r w:rsidRPr="002B59B9">
        <w:rPr>
          <w:rFonts w:cs="Times New Roman" w:hint="eastAsia"/>
          <w:color w:val="000000"/>
          <w:sz w:val="18"/>
          <w:szCs w:val="18"/>
        </w:rPr>
        <w:t>的，按照原持有被购买方的股权投资账面价值加上新增投资成本之和，作为改按成本法核算的长期股权投资的初始投资成本。原持有的股权采用权益法核算的，相关其他综合收益暂不进行会计处理。</w:t>
      </w:r>
    </w:p>
    <w:p w:rsidR="00B818D2"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合并方或购买方为企业合并发生的审计、法律服务、评估咨询等中介费用以及其他相关管理费用，于发生时计入当期损益。</w:t>
      </w:r>
    </w:p>
    <w:p w:rsidR="00B818D2"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除企业合并形成的长期股权投资外的其他股权投资，按成本进行初始计量，</w:t>
      </w:r>
      <w:proofErr w:type="gramStart"/>
      <w:r w:rsidRPr="002B59B9">
        <w:rPr>
          <w:rFonts w:cs="Times New Roman" w:hint="eastAsia"/>
          <w:color w:val="000000"/>
          <w:sz w:val="18"/>
          <w:szCs w:val="18"/>
        </w:rPr>
        <w:t>该成本视长期</w:t>
      </w:r>
      <w:proofErr w:type="gramEnd"/>
      <w:r w:rsidRPr="002B59B9">
        <w:rPr>
          <w:rFonts w:cs="Times New Roman" w:hint="eastAsia"/>
          <w:color w:val="000000"/>
          <w:sz w:val="18"/>
          <w:szCs w:val="18"/>
        </w:rPr>
        <w:t>股权投资取得方式的不同，分别按照本公司实际支付的现金购买价款、本公司发行的权益</w:t>
      </w:r>
      <w:proofErr w:type="gramStart"/>
      <w:r w:rsidRPr="002B59B9">
        <w:rPr>
          <w:rFonts w:cs="Times New Roman" w:hint="eastAsia"/>
          <w:color w:val="000000"/>
          <w:sz w:val="18"/>
          <w:szCs w:val="18"/>
        </w:rPr>
        <w:t>性证券</w:t>
      </w:r>
      <w:proofErr w:type="gramEnd"/>
      <w:r w:rsidRPr="002B59B9">
        <w:rPr>
          <w:rFonts w:cs="Times New Roman" w:hint="eastAsia"/>
          <w:color w:val="000000"/>
          <w:sz w:val="18"/>
          <w:szCs w:val="18"/>
        </w:rPr>
        <w:t>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w:t>
      </w:r>
      <w:r w:rsidRPr="002B59B9">
        <w:rPr>
          <w:rFonts w:cs="Times New Roman"/>
          <w:color w:val="000000"/>
          <w:sz w:val="18"/>
          <w:szCs w:val="18"/>
        </w:rPr>
        <w:t>22</w:t>
      </w:r>
      <w:r w:rsidRPr="002B59B9">
        <w:rPr>
          <w:rFonts w:cs="Times New Roman" w:hint="eastAsia"/>
          <w:color w:val="000000"/>
          <w:sz w:val="18"/>
          <w:szCs w:val="18"/>
        </w:rPr>
        <w:t>号</w:t>
      </w:r>
      <w:r w:rsidRPr="002B59B9">
        <w:rPr>
          <w:rFonts w:cs="Times New Roman"/>
          <w:color w:val="000000"/>
          <w:sz w:val="18"/>
          <w:szCs w:val="18"/>
        </w:rPr>
        <w:t>——</w:t>
      </w:r>
      <w:r w:rsidRPr="002B59B9">
        <w:rPr>
          <w:rFonts w:cs="Times New Roman" w:hint="eastAsia"/>
          <w:color w:val="000000"/>
          <w:sz w:val="18"/>
          <w:szCs w:val="18"/>
        </w:rPr>
        <w:t>金融工具确认和计量》确定的原持有股权投资的公允价值加上新增投资成本之</w:t>
      </w:r>
      <w:proofErr w:type="gramStart"/>
      <w:r w:rsidRPr="002B59B9">
        <w:rPr>
          <w:rFonts w:cs="Times New Roman" w:hint="eastAsia"/>
          <w:color w:val="000000"/>
          <w:sz w:val="18"/>
          <w:szCs w:val="18"/>
        </w:rPr>
        <w:t>和</w:t>
      </w:r>
      <w:proofErr w:type="gramEnd"/>
      <w:r w:rsidRPr="002B59B9">
        <w:rPr>
          <w:rFonts w:cs="Times New Roman" w:hint="eastAsia"/>
          <w:color w:val="000000"/>
          <w:sz w:val="18"/>
          <w:szCs w:val="18"/>
        </w:rPr>
        <w:t>。</w:t>
      </w:r>
    </w:p>
    <w:p w:rsidR="00B818D2"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t>（</w:t>
      </w:r>
      <w:r w:rsidRPr="002B59B9">
        <w:rPr>
          <w:rFonts w:cs="Times New Roman"/>
          <w:color w:val="000000"/>
          <w:sz w:val="18"/>
          <w:szCs w:val="18"/>
        </w:rPr>
        <w:t>2</w:t>
      </w:r>
      <w:r w:rsidRPr="002B59B9">
        <w:rPr>
          <w:rFonts w:cs="Times New Roman" w:hint="eastAsia"/>
          <w:color w:val="000000"/>
          <w:sz w:val="18"/>
          <w:szCs w:val="18"/>
        </w:rPr>
        <w:t>）后续计量及损益确认方法</w:t>
      </w:r>
    </w:p>
    <w:p w:rsidR="008D4B2E" w:rsidRPr="002B59B9" w:rsidRDefault="008D4B2E" w:rsidP="00B818D2">
      <w:pPr>
        <w:pStyle w:val="a3"/>
        <w:spacing w:before="0" w:beforeAutospacing="0" w:after="0" w:afterAutospacing="0"/>
        <w:ind w:firstLineChars="200" w:firstLine="360"/>
        <w:divId w:val="926888792"/>
        <w:rPr>
          <w:rFonts w:cs="Times New Roman"/>
          <w:color w:val="000000"/>
          <w:sz w:val="18"/>
          <w:szCs w:val="18"/>
        </w:rPr>
      </w:pPr>
      <w:r w:rsidRPr="002B59B9">
        <w:rPr>
          <w:rFonts w:cs="Times New Roman" w:hint="eastAsia"/>
          <w:color w:val="000000"/>
          <w:sz w:val="18"/>
          <w:szCs w:val="18"/>
        </w:rPr>
        <w:lastRenderedPageBreak/>
        <w:t>对被投资单位具有共同控制（构成共同经营者除外）或重大影响的长期股权投资，采用权益法核算。此外，公司财务报表采用成本法核算能够对被投资单位实施控制的长期股权投资。</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①</w:t>
      </w:r>
      <w:r w:rsidRPr="002B59B9">
        <w:rPr>
          <w:rFonts w:cs="Times New Roman"/>
          <w:color w:val="000000"/>
          <w:sz w:val="18"/>
          <w:szCs w:val="18"/>
        </w:rPr>
        <w:t> </w:t>
      </w:r>
      <w:r w:rsidRPr="002B59B9">
        <w:rPr>
          <w:rFonts w:cs="Times New Roman" w:hint="eastAsia"/>
          <w:color w:val="000000"/>
          <w:sz w:val="18"/>
          <w:szCs w:val="18"/>
        </w:rPr>
        <w:t>成本法核算的长期股权投资</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②</w:t>
      </w:r>
      <w:r w:rsidRPr="002B59B9">
        <w:rPr>
          <w:rFonts w:cs="Times New Roman"/>
          <w:color w:val="000000"/>
          <w:sz w:val="18"/>
          <w:szCs w:val="18"/>
        </w:rPr>
        <w:t> </w:t>
      </w:r>
      <w:r w:rsidRPr="002B59B9">
        <w:rPr>
          <w:rFonts w:cs="Times New Roman" w:hint="eastAsia"/>
          <w:color w:val="000000"/>
          <w:sz w:val="18"/>
          <w:szCs w:val="18"/>
        </w:rPr>
        <w:t>权益法核算的长期股权投资</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w:t>
      </w:r>
      <w:proofErr w:type="gramStart"/>
      <w:r w:rsidRPr="002B59B9">
        <w:rPr>
          <w:rFonts w:cs="Times New Roman" w:hint="eastAsia"/>
          <w:color w:val="000000"/>
          <w:sz w:val="18"/>
          <w:szCs w:val="18"/>
        </w:rPr>
        <w:t>抵销</w:t>
      </w:r>
      <w:proofErr w:type="gramEnd"/>
      <w:r w:rsidRPr="002B59B9">
        <w:rPr>
          <w:rFonts w:cs="Times New Roman" w:hint="eastAsia"/>
          <w:color w:val="000000"/>
          <w:sz w:val="18"/>
          <w:szCs w:val="18"/>
        </w:rPr>
        <w:t>，在此基础上确认投资损益。但本公司与被投资单位发生的未实现内部交易损失，属于所转让资产减值损失的，不予以</w:t>
      </w:r>
      <w:proofErr w:type="gramStart"/>
      <w:r w:rsidRPr="002B59B9">
        <w:rPr>
          <w:rFonts w:cs="Times New Roman" w:hint="eastAsia"/>
          <w:color w:val="000000"/>
          <w:sz w:val="18"/>
          <w:szCs w:val="18"/>
        </w:rPr>
        <w:t>抵销</w:t>
      </w:r>
      <w:proofErr w:type="gramEnd"/>
      <w:r w:rsidRPr="002B59B9">
        <w:rPr>
          <w:rFonts w:cs="Times New Roman" w:hint="eastAsia"/>
          <w:color w:val="000000"/>
          <w:sz w:val="18"/>
          <w:szCs w:val="18"/>
        </w:rPr>
        <w:t>。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2B59B9">
        <w:rPr>
          <w:rFonts w:cs="Times New Roman"/>
          <w:color w:val="000000"/>
          <w:sz w:val="18"/>
          <w:szCs w:val="18"/>
        </w:rPr>
        <w:t>20</w:t>
      </w:r>
      <w:r w:rsidRPr="002B59B9">
        <w:rPr>
          <w:rFonts w:cs="Times New Roman" w:hint="eastAsia"/>
          <w:color w:val="000000"/>
          <w:sz w:val="18"/>
          <w:szCs w:val="18"/>
        </w:rPr>
        <w:t>号</w:t>
      </w:r>
      <w:r w:rsidRPr="002B59B9">
        <w:rPr>
          <w:rFonts w:cs="Times New Roman"/>
          <w:color w:val="000000"/>
          <w:sz w:val="18"/>
          <w:szCs w:val="18"/>
        </w:rPr>
        <w:t>——</w:t>
      </w:r>
      <w:r w:rsidRPr="002B59B9">
        <w:rPr>
          <w:rFonts w:cs="Times New Roman" w:hint="eastAsia"/>
          <w:color w:val="000000"/>
          <w:sz w:val="18"/>
          <w:szCs w:val="18"/>
        </w:rPr>
        <w:t>企业合并》的规定进行会计处理，全额确认与交易相关的利得或损失。</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在确认应分担被投资单位发生的净亏损时，以长期股权投资的账面价值和其他实质上构成对被投资单位净投资的长期权益</w:t>
      </w:r>
      <w:proofErr w:type="gramStart"/>
      <w:r w:rsidRPr="002B59B9">
        <w:rPr>
          <w:rFonts w:cs="Times New Roman" w:hint="eastAsia"/>
          <w:color w:val="000000"/>
          <w:sz w:val="18"/>
          <w:szCs w:val="18"/>
        </w:rPr>
        <w:t>减记至</w:t>
      </w:r>
      <w:proofErr w:type="gramEnd"/>
      <w:r w:rsidRPr="002B59B9">
        <w:rPr>
          <w:rFonts w:cs="Times New Roman" w:hint="eastAsia"/>
          <w:color w:val="000000"/>
          <w:sz w:val="18"/>
          <w:szCs w:val="18"/>
        </w:rPr>
        <w:t>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对于本公司首次执行新会计准则之前已经持有的对联营企业和合营企业的长期股权投资，如存在与该投资相关的股权投资借方差额，按原剩余期限直线摊销的金额计入当期损益。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③</w:t>
      </w:r>
      <w:r w:rsidRPr="002B59B9">
        <w:rPr>
          <w:rFonts w:cs="Times New Roman"/>
          <w:color w:val="000000"/>
          <w:sz w:val="18"/>
          <w:szCs w:val="18"/>
        </w:rPr>
        <w:t> </w:t>
      </w:r>
      <w:r w:rsidRPr="002B59B9">
        <w:rPr>
          <w:rFonts w:cs="Times New Roman" w:hint="eastAsia"/>
          <w:color w:val="000000"/>
          <w:sz w:val="18"/>
          <w:szCs w:val="18"/>
        </w:rPr>
        <w:t>收购少数股权</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在编制合并财务报表时，因购买少数股权新增的长期股权投资与按照新增持股比例计算应享有子公司自购买日（或合并日）开始持续计算的净资产份额之间的差额，调整资本公积，资本公</w:t>
      </w:r>
      <w:proofErr w:type="gramStart"/>
      <w:r w:rsidRPr="002B59B9">
        <w:rPr>
          <w:rFonts w:cs="Times New Roman" w:hint="eastAsia"/>
          <w:color w:val="000000"/>
          <w:sz w:val="18"/>
          <w:szCs w:val="18"/>
        </w:rPr>
        <w:t>积不足</w:t>
      </w:r>
      <w:proofErr w:type="gramEnd"/>
      <w:r w:rsidRPr="002B59B9">
        <w:rPr>
          <w:rFonts w:cs="Times New Roman" w:hint="eastAsia"/>
          <w:color w:val="000000"/>
          <w:sz w:val="18"/>
          <w:szCs w:val="18"/>
        </w:rPr>
        <w:t>冲减的，调整留存收益。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④</w:t>
      </w:r>
      <w:r w:rsidRPr="002B59B9">
        <w:rPr>
          <w:rFonts w:cs="Times New Roman"/>
          <w:color w:val="000000"/>
          <w:sz w:val="18"/>
          <w:szCs w:val="18"/>
        </w:rPr>
        <w:t> </w:t>
      </w:r>
      <w:r w:rsidRPr="002B59B9">
        <w:rPr>
          <w:rFonts w:cs="Times New Roman" w:hint="eastAsia"/>
          <w:color w:val="000000"/>
          <w:sz w:val="18"/>
          <w:szCs w:val="18"/>
        </w:rPr>
        <w:t>处置长期股权投资</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四、</w:t>
      </w:r>
      <w:r w:rsidRPr="002B59B9">
        <w:rPr>
          <w:rFonts w:cs="Times New Roman"/>
          <w:color w:val="000000"/>
          <w:sz w:val="18"/>
          <w:szCs w:val="18"/>
        </w:rPr>
        <w:t>5</w:t>
      </w:r>
      <w:r w:rsidRPr="002B59B9">
        <w:rPr>
          <w:rFonts w:cs="Times New Roman" w:hint="eastAsia"/>
          <w:color w:val="000000"/>
          <w:sz w:val="18"/>
          <w:szCs w:val="18"/>
        </w:rPr>
        <w:t>、（</w:t>
      </w:r>
      <w:r w:rsidRPr="002B59B9">
        <w:rPr>
          <w:rFonts w:cs="Times New Roman"/>
          <w:color w:val="000000"/>
          <w:sz w:val="18"/>
          <w:szCs w:val="18"/>
        </w:rPr>
        <w:t>2</w:t>
      </w:r>
      <w:r w:rsidRPr="002B59B9">
        <w:rPr>
          <w:rFonts w:cs="Times New Roman" w:hint="eastAsia"/>
          <w:color w:val="000000"/>
          <w:sz w:val="18"/>
          <w:szCs w:val="18"/>
        </w:rPr>
        <w:t>）</w:t>
      </w:r>
      <w:r w:rsidRPr="002B59B9">
        <w:rPr>
          <w:rFonts w:cs="Times New Roman"/>
          <w:color w:val="000000"/>
          <w:sz w:val="18"/>
          <w:szCs w:val="18"/>
        </w:rPr>
        <w:t>“</w:t>
      </w:r>
      <w:r w:rsidRPr="002B59B9">
        <w:rPr>
          <w:rFonts w:cs="Times New Roman" w:hint="eastAsia"/>
          <w:color w:val="000000"/>
          <w:sz w:val="18"/>
          <w:szCs w:val="18"/>
        </w:rPr>
        <w:t>合并财务报表编制的方法</w:t>
      </w:r>
      <w:r w:rsidRPr="002B59B9">
        <w:rPr>
          <w:rFonts w:cs="Times New Roman"/>
          <w:color w:val="000000"/>
          <w:sz w:val="18"/>
          <w:szCs w:val="18"/>
        </w:rPr>
        <w:t>”</w:t>
      </w:r>
      <w:r w:rsidRPr="002B59B9">
        <w:rPr>
          <w:rFonts w:cs="Times New Roman" w:hint="eastAsia"/>
          <w:color w:val="000000"/>
          <w:sz w:val="18"/>
          <w:szCs w:val="18"/>
        </w:rPr>
        <w:t>中所述的相关会计政策处理。</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其他情形下的长期股权投资处置，对于处置的股权，其账面价值与实际取得价款的差额，计入当期损益。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采用权益法核算的长期股权投资，处置后的剩余股权仍采用权益法核算的，在处置时将原计入股东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w:t>
      </w:r>
      <w:proofErr w:type="gramStart"/>
      <w:r w:rsidRPr="002B59B9">
        <w:rPr>
          <w:rFonts w:cs="Times New Roman" w:hint="eastAsia"/>
          <w:color w:val="000000"/>
          <w:sz w:val="18"/>
          <w:szCs w:val="18"/>
        </w:rPr>
        <w:t>变动按</w:t>
      </w:r>
      <w:proofErr w:type="gramEnd"/>
      <w:r w:rsidRPr="002B59B9">
        <w:rPr>
          <w:rFonts w:cs="Times New Roman" w:hint="eastAsia"/>
          <w:color w:val="000000"/>
          <w:sz w:val="18"/>
          <w:szCs w:val="18"/>
        </w:rPr>
        <w:t>比例结转当期损益。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lastRenderedPageBreak/>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8D4B2E" w:rsidRPr="002B59B9" w:rsidRDefault="008D4B2E" w:rsidP="00B818D2">
      <w:pPr>
        <w:pStyle w:val="a3"/>
        <w:spacing w:before="0" w:beforeAutospacing="0" w:after="0" w:afterAutospacing="0"/>
        <w:ind w:firstLine="420"/>
        <w:divId w:val="926888792"/>
        <w:rPr>
          <w:rFonts w:cs="Times New Roman"/>
          <w:color w:val="000000"/>
          <w:sz w:val="18"/>
          <w:szCs w:val="18"/>
        </w:rPr>
      </w:pPr>
      <w:r w:rsidRPr="002B59B9">
        <w:rPr>
          <w:rFonts w:cs="Times New Roman" w:hint="eastAsia"/>
          <w:color w:val="000000"/>
          <w:sz w:val="18"/>
          <w:szCs w:val="18"/>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p w:rsidR="00BA0365" w:rsidRDefault="008D4B2E" w:rsidP="00B818D2">
      <w:pPr>
        <w:pStyle w:val="3"/>
        <w:spacing w:line="240" w:lineRule="auto"/>
        <w:jc w:val="left"/>
        <w:rPr>
          <w:rFonts w:ascii="宋体" w:hAnsi="宋体" w:cs="宋体"/>
          <w:b/>
          <w:bCs/>
        </w:rPr>
      </w:pPr>
      <w:bookmarkStart w:id="187" w:name="_Toc989075"/>
      <w:r>
        <w:rPr>
          <w:rFonts w:ascii="宋体" w:hAnsi="宋体" w:cs="宋体"/>
          <w:b/>
          <w:bCs/>
        </w:rPr>
        <w:t>22、投资性房地产</w:t>
      </w:r>
      <w:bookmarkEnd w:id="187"/>
    </w:p>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投资性房地产计量模式</w:t>
      </w:r>
    </w:p>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成本法计量</w:t>
      </w:r>
    </w:p>
    <w:p w:rsidR="00BA0365" w:rsidRPr="002B59B9" w:rsidRDefault="008D4B2E" w:rsidP="00B818D2">
      <w:pPr>
        <w:pStyle w:val="a3"/>
        <w:spacing w:before="0" w:beforeAutospacing="0" w:after="0" w:afterAutospacing="0"/>
        <w:ind w:firstLine="420"/>
        <w:rPr>
          <w:rFonts w:cs="Times New Roman"/>
          <w:color w:val="000000"/>
          <w:sz w:val="18"/>
          <w:szCs w:val="18"/>
        </w:rPr>
      </w:pPr>
      <w:r w:rsidRPr="002B59B9">
        <w:rPr>
          <w:rFonts w:cs="Times New Roman"/>
          <w:color w:val="000000"/>
          <w:sz w:val="18"/>
          <w:szCs w:val="18"/>
        </w:rPr>
        <w:t>折旧或摊销方法</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投资性房地产是指为赚取租金或资本增值，或两者兼有而持有的房地产。包括已出租的土地使用权、持有并</w:t>
      </w:r>
      <w:proofErr w:type="gramStart"/>
      <w:r w:rsidRPr="002B59B9">
        <w:rPr>
          <w:rFonts w:cs="Times New Roman" w:hint="eastAsia"/>
          <w:color w:val="000000"/>
          <w:sz w:val="18"/>
          <w:szCs w:val="18"/>
        </w:rPr>
        <w:t>准备增值</w:t>
      </w:r>
      <w:proofErr w:type="gramEnd"/>
      <w:r w:rsidRPr="002B59B9">
        <w:rPr>
          <w:rFonts w:cs="Times New Roman" w:hint="eastAsia"/>
          <w:color w:val="000000"/>
          <w:sz w:val="18"/>
          <w:szCs w:val="18"/>
        </w:rPr>
        <w:t>后转让的土地使用权、已出租的建筑物等。</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投资性房地产按成本进行初始计量。与投资性房地产有关的后续支出，如果与该资产有关的经济利益很可能流入且其成本能可靠地计量，则计入投资性房地产成本。其他后续支出，在发生时计入当期损益。</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本公司采用成本模式对投资性房地产进行后续计量，并按照与房屋建筑物或土地使用权一致的政策进行折旧或摊销。</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投资性房地产的减值测试方法和减值准备计提方法详见附注四、</w:t>
      </w:r>
      <w:r w:rsidRPr="002B59B9">
        <w:rPr>
          <w:rFonts w:cs="Times New Roman"/>
          <w:color w:val="000000"/>
          <w:sz w:val="18"/>
          <w:szCs w:val="18"/>
        </w:rPr>
        <w:t>“</w:t>
      </w:r>
      <w:r w:rsidRPr="002B59B9">
        <w:rPr>
          <w:rFonts w:cs="Times New Roman" w:hint="eastAsia"/>
          <w:color w:val="000000"/>
          <w:sz w:val="18"/>
          <w:szCs w:val="18"/>
        </w:rPr>
        <w:t>长期资产减值</w:t>
      </w:r>
      <w:r w:rsidRPr="002B59B9">
        <w:rPr>
          <w:rFonts w:cs="Times New Roman"/>
          <w:color w:val="000000"/>
          <w:sz w:val="18"/>
          <w:szCs w:val="18"/>
        </w:rPr>
        <w:t>”</w:t>
      </w:r>
      <w:r w:rsidRPr="002B59B9">
        <w:rPr>
          <w:rFonts w:cs="Times New Roman" w:hint="eastAsia"/>
          <w:color w:val="000000"/>
          <w:sz w:val="18"/>
          <w:szCs w:val="18"/>
        </w:rPr>
        <w:t>。</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自用房地产或存货转换为投资性房地产或投资性房地产转换为自用房地产时，按转换前的账面价值作为转换后的入账价值。</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投资性房地产的用途改变为自用时，</w:t>
      </w:r>
      <w:proofErr w:type="gramStart"/>
      <w:r w:rsidRPr="002B59B9">
        <w:rPr>
          <w:rFonts w:cs="Times New Roman" w:hint="eastAsia"/>
          <w:color w:val="000000"/>
          <w:sz w:val="18"/>
          <w:szCs w:val="18"/>
        </w:rPr>
        <w:t>自改变</w:t>
      </w:r>
      <w:proofErr w:type="gramEnd"/>
      <w:r w:rsidRPr="002B59B9">
        <w:rPr>
          <w:rFonts w:cs="Times New Roman" w:hint="eastAsia"/>
          <w:color w:val="000000"/>
          <w:sz w:val="18"/>
          <w:szCs w:val="18"/>
        </w:rPr>
        <w:t>之日起，将该投资性房地产转换为固定资产或无形资产。自用房地产的用途改变为赚取租金或资本增值时，</w:t>
      </w:r>
      <w:proofErr w:type="gramStart"/>
      <w:r w:rsidRPr="002B59B9">
        <w:rPr>
          <w:rFonts w:cs="Times New Roman" w:hint="eastAsia"/>
          <w:color w:val="000000"/>
          <w:sz w:val="18"/>
          <w:szCs w:val="18"/>
        </w:rPr>
        <w:t>自改变</w:t>
      </w:r>
      <w:proofErr w:type="gramEnd"/>
      <w:r w:rsidRPr="002B59B9">
        <w:rPr>
          <w:rFonts w:cs="Times New Roman" w:hint="eastAsia"/>
          <w:color w:val="000000"/>
          <w:sz w:val="18"/>
          <w:szCs w:val="18"/>
        </w:rPr>
        <w:t>之日起，将固定资产或无形资产转换为投资性房地产。发生转换时，转换为采用成本模式计量的投资性房地产的，以转换前的账面价值作为转换后的入账价值；转换为以公允价值模式计量的投资性房地产的，以</w:t>
      </w:r>
      <w:proofErr w:type="gramStart"/>
      <w:r w:rsidRPr="002B59B9">
        <w:rPr>
          <w:rFonts w:cs="Times New Roman" w:hint="eastAsia"/>
          <w:color w:val="000000"/>
          <w:sz w:val="18"/>
          <w:szCs w:val="18"/>
        </w:rPr>
        <w:t>转换日</w:t>
      </w:r>
      <w:proofErr w:type="gramEnd"/>
      <w:r w:rsidRPr="002B59B9">
        <w:rPr>
          <w:rFonts w:cs="Times New Roman" w:hint="eastAsia"/>
          <w:color w:val="000000"/>
          <w:sz w:val="18"/>
          <w:szCs w:val="18"/>
        </w:rPr>
        <w:t>的公允价值作为转换后的入账价值。</w:t>
      </w:r>
    </w:p>
    <w:p w:rsidR="008D4B2E" w:rsidRPr="002B59B9" w:rsidRDefault="008D4B2E" w:rsidP="00B818D2">
      <w:pPr>
        <w:pStyle w:val="a3"/>
        <w:spacing w:before="0" w:beforeAutospacing="0" w:after="0" w:afterAutospacing="0"/>
        <w:ind w:firstLine="420"/>
        <w:divId w:val="1186096628"/>
        <w:rPr>
          <w:rFonts w:cs="Times New Roman"/>
          <w:color w:val="000000"/>
          <w:sz w:val="18"/>
          <w:szCs w:val="18"/>
        </w:rPr>
      </w:pPr>
      <w:r w:rsidRPr="002B59B9">
        <w:rPr>
          <w:rFonts w:cs="Times New Roman" w:hint="eastAsia"/>
          <w:color w:val="000000"/>
          <w:sz w:val="18"/>
          <w:szCs w:val="18"/>
        </w:rPr>
        <w:t>当投资性房地产被处置、或者永久退出使用且预计不能从其处置中取得经济利益时，终止确认该项投资性房地产。投资性房地产出售、转让、报废或毁损的处置收入扣除其账面价值和相关税费后计入当期损益。</w:t>
      </w:r>
    </w:p>
    <w:p w:rsidR="00BA0365" w:rsidRDefault="008D4B2E" w:rsidP="00B818D2">
      <w:pPr>
        <w:pStyle w:val="3"/>
        <w:spacing w:line="240" w:lineRule="auto"/>
        <w:jc w:val="left"/>
        <w:rPr>
          <w:rFonts w:ascii="宋体" w:hAnsi="宋体" w:cs="宋体"/>
          <w:b/>
          <w:bCs/>
        </w:rPr>
      </w:pPr>
      <w:bookmarkStart w:id="188" w:name="_Toc989076"/>
      <w:r>
        <w:rPr>
          <w:rFonts w:ascii="宋体" w:hAnsi="宋体" w:cs="宋体"/>
          <w:b/>
          <w:bCs/>
        </w:rPr>
        <w:lastRenderedPageBreak/>
        <w:t>23、固定资产</w:t>
      </w:r>
      <w:bookmarkEnd w:id="188"/>
    </w:p>
    <w:p w:rsidR="00BA0365" w:rsidRDefault="008D4B2E" w:rsidP="00B818D2">
      <w:pPr>
        <w:keepNext/>
        <w:keepLines/>
        <w:spacing w:before="300" w:after="300"/>
        <w:outlineLvl w:val="3"/>
        <w:rPr>
          <w:rFonts w:ascii="宋体" w:eastAsia="宋体" w:hAnsi="宋体" w:cs="宋体"/>
          <w:b/>
          <w:bCs/>
          <w:szCs w:val="21"/>
        </w:rPr>
      </w:pPr>
      <w:bookmarkStart w:id="189" w:name="_Toc989077"/>
      <w:r>
        <w:rPr>
          <w:rFonts w:ascii="宋体" w:eastAsia="宋体" w:hAnsi="宋体" w:cs="宋体"/>
          <w:b/>
          <w:bCs/>
          <w:szCs w:val="21"/>
        </w:rPr>
        <w:t>（1） 确认条件</w:t>
      </w:r>
      <w:bookmarkEnd w:id="189"/>
    </w:p>
    <w:p w:rsidR="008D4B2E" w:rsidRPr="002B59B9" w:rsidRDefault="008D4B2E" w:rsidP="00B818D2">
      <w:pPr>
        <w:pStyle w:val="a3"/>
        <w:spacing w:before="0" w:beforeAutospacing="0" w:after="0" w:afterAutospacing="0"/>
        <w:ind w:firstLine="420"/>
        <w:divId w:val="1540897721"/>
        <w:rPr>
          <w:rFonts w:cs="Times New Roman"/>
          <w:color w:val="000000"/>
          <w:sz w:val="18"/>
          <w:szCs w:val="18"/>
        </w:rPr>
      </w:pPr>
      <w:r w:rsidRPr="002B59B9">
        <w:rPr>
          <w:rFonts w:cs="Times New Roman" w:hint="eastAsia"/>
          <w:color w:val="000000"/>
          <w:sz w:val="18"/>
          <w:szCs w:val="18"/>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BA0365" w:rsidRDefault="008D4B2E" w:rsidP="00B818D2">
      <w:pPr>
        <w:keepNext/>
        <w:keepLines/>
        <w:spacing w:before="300" w:after="300"/>
        <w:outlineLvl w:val="3"/>
        <w:rPr>
          <w:rFonts w:ascii="宋体" w:eastAsia="宋体" w:hAnsi="宋体" w:cs="宋体"/>
          <w:b/>
          <w:bCs/>
          <w:szCs w:val="21"/>
        </w:rPr>
      </w:pPr>
      <w:bookmarkStart w:id="190" w:name="_Toc989078"/>
      <w:r>
        <w:rPr>
          <w:rFonts w:ascii="宋体" w:eastAsia="宋体" w:hAnsi="宋体" w:cs="宋体"/>
          <w:b/>
          <w:bCs/>
          <w:szCs w:val="21"/>
        </w:rPr>
        <w:t>（2） 折旧方法</w:t>
      </w:r>
      <w:bookmarkEnd w:id="190"/>
    </w:p>
    <w:tbl>
      <w:tblPr>
        <w:tblW w:w="9639" w:type="dxa"/>
        <w:tblLayout w:type="fixed"/>
        <w:tblLook w:val="04A0" w:firstRow="1" w:lastRow="0" w:firstColumn="1" w:lastColumn="0" w:noHBand="0" w:noVBand="1"/>
      </w:tblPr>
      <w:tblGrid>
        <w:gridCol w:w="1927"/>
        <w:gridCol w:w="1928"/>
        <w:gridCol w:w="1928"/>
        <w:gridCol w:w="1928"/>
        <w:gridCol w:w="1928"/>
      </w:tblGrid>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类别</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折旧方法</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折旧年限</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残值率</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年折旧率</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房屋及建筑物</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20-40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4.75--2.375</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机器设备</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10-25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0-5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9.50--4.00</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电子设备</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15.83</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运输设备</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15.83</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办公设备</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15.83</w:t>
            </w:r>
          </w:p>
        </w:tc>
      </w:tr>
      <w:tr w:rsidR="00157EA0" w:rsidTr="007E0ED4">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其他</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年限平均法</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15.83</w:t>
            </w:r>
          </w:p>
        </w:tc>
      </w:tr>
    </w:tbl>
    <w:p w:rsidR="008D4B2E" w:rsidRPr="002B59B9" w:rsidRDefault="008D4B2E" w:rsidP="00B818D2">
      <w:pPr>
        <w:widowControl/>
        <w:divId w:val="790633739"/>
        <w:rPr>
          <w:rFonts w:ascii="宋体" w:hAnsi="宋体" w:cs="Times New Roman"/>
          <w:color w:val="000000"/>
          <w:sz w:val="18"/>
          <w:szCs w:val="18"/>
        </w:rPr>
      </w:pPr>
      <w:r>
        <w:rPr>
          <w:rFonts w:hint="eastAsia"/>
          <w:color w:val="000000"/>
          <w:sz w:val="18"/>
          <w:szCs w:val="18"/>
        </w:rPr>
        <w:t> </w:t>
      </w:r>
      <w:r>
        <w:rPr>
          <w:rFonts w:hint="eastAsia"/>
          <w:sz w:val="18"/>
          <w:szCs w:val="18"/>
        </w:rPr>
        <w:t xml:space="preserve"> </w:t>
      </w:r>
      <w:r w:rsidRPr="002B59B9">
        <w:rPr>
          <w:rFonts w:cs="Times New Roman" w:hint="eastAsia"/>
          <w:color w:val="000000"/>
          <w:sz w:val="18"/>
          <w:szCs w:val="18"/>
        </w:rPr>
        <w:t>预计净残值是指假定固定资产预计使用寿命已满并处于使用寿命终了时的预期状态，本公司目前从该项资产处置中获得的扣除预计处置费用后的金额。</w:t>
      </w:r>
    </w:p>
    <w:p w:rsidR="00BA0365" w:rsidRPr="002B59B9" w:rsidRDefault="008D4B2E" w:rsidP="00B818D2">
      <w:pPr>
        <w:pStyle w:val="a3"/>
        <w:spacing w:before="0" w:beforeAutospacing="0" w:after="0" w:afterAutospacing="0"/>
        <w:rPr>
          <w:rFonts w:cs="Times New Roman"/>
          <w:color w:val="000000"/>
          <w:sz w:val="18"/>
          <w:szCs w:val="18"/>
        </w:rPr>
      </w:pPr>
      <w:r w:rsidRPr="002B59B9">
        <w:rPr>
          <w:rFonts w:cs="Times New Roman"/>
          <w:color w:val="000000"/>
          <w:sz w:val="18"/>
          <w:szCs w:val="18"/>
        </w:rPr>
        <w:t>公司需遵守《深圳证券交易所上市公司自律监管指引第3号——行业信息披露》中化工行业的披露要求</w:t>
      </w:r>
    </w:p>
    <w:p w:rsidR="008D4B2E" w:rsidRPr="002B59B9" w:rsidRDefault="008D4B2E" w:rsidP="00B818D2">
      <w:pPr>
        <w:pStyle w:val="a3"/>
        <w:spacing w:before="0" w:beforeAutospacing="0" w:after="0" w:afterAutospacing="0"/>
        <w:divId w:val="1187984326"/>
        <w:rPr>
          <w:rFonts w:cs="Times New Roman"/>
          <w:color w:val="000000"/>
          <w:sz w:val="18"/>
          <w:szCs w:val="18"/>
        </w:rPr>
      </w:pPr>
      <w:r w:rsidRPr="002B59B9">
        <w:rPr>
          <w:rFonts w:cs="Times New Roman" w:hint="eastAsia"/>
          <w:color w:val="000000"/>
          <w:sz w:val="18"/>
          <w:szCs w:val="18"/>
        </w:rPr>
        <w:t>无</w:t>
      </w:r>
    </w:p>
    <w:p w:rsidR="00BA0365" w:rsidRDefault="008D4B2E" w:rsidP="00B818D2">
      <w:pPr>
        <w:keepNext/>
        <w:keepLines/>
        <w:spacing w:before="300" w:after="300"/>
        <w:outlineLvl w:val="3"/>
        <w:rPr>
          <w:rFonts w:ascii="宋体" w:eastAsia="宋体" w:hAnsi="宋体" w:cs="宋体"/>
          <w:b/>
          <w:bCs/>
          <w:szCs w:val="21"/>
        </w:rPr>
      </w:pPr>
      <w:bookmarkStart w:id="191" w:name="_Toc989079"/>
      <w:r>
        <w:rPr>
          <w:rFonts w:ascii="宋体" w:eastAsia="宋体" w:hAnsi="宋体" w:cs="宋体"/>
          <w:b/>
          <w:bCs/>
          <w:szCs w:val="21"/>
        </w:rPr>
        <w:t>（3） 固定资产的减值测试方法及减值准备计提方法</w:t>
      </w:r>
      <w:bookmarkEnd w:id="191"/>
    </w:p>
    <w:p w:rsidR="008D4B2E" w:rsidRPr="002B59B9" w:rsidRDefault="008D4B2E" w:rsidP="00B818D2">
      <w:pPr>
        <w:pStyle w:val="a3"/>
        <w:spacing w:before="0" w:beforeAutospacing="0" w:after="0" w:afterAutospacing="0"/>
        <w:ind w:firstLine="400"/>
        <w:divId w:val="1010595849"/>
        <w:rPr>
          <w:rFonts w:cs="Times New Roman"/>
          <w:sz w:val="18"/>
          <w:szCs w:val="18"/>
        </w:rPr>
      </w:pPr>
      <w:r w:rsidRPr="002B59B9">
        <w:rPr>
          <w:rFonts w:cs="Times New Roman" w:hint="eastAsia"/>
          <w:sz w:val="18"/>
          <w:szCs w:val="18"/>
        </w:rPr>
        <w:t>固定资产的减值测试方法和减值准备计提方法详见附注</w:t>
      </w:r>
      <w:r w:rsidRPr="002B59B9">
        <w:rPr>
          <w:rFonts w:cs="Times New Roman"/>
          <w:sz w:val="18"/>
          <w:szCs w:val="18"/>
        </w:rPr>
        <w:t>“</w:t>
      </w:r>
      <w:r w:rsidRPr="002B59B9">
        <w:rPr>
          <w:rFonts w:cs="Times New Roman" w:hint="eastAsia"/>
          <w:sz w:val="18"/>
          <w:szCs w:val="18"/>
        </w:rPr>
        <w:t>长期资产减值</w:t>
      </w:r>
      <w:r w:rsidRPr="002B59B9">
        <w:rPr>
          <w:rFonts w:cs="Times New Roman"/>
          <w:sz w:val="18"/>
          <w:szCs w:val="18"/>
        </w:rPr>
        <w:t>”</w:t>
      </w:r>
      <w:r w:rsidRPr="002B59B9">
        <w:rPr>
          <w:rFonts w:cs="Times New Roman" w:hint="eastAsia"/>
          <w:sz w:val="18"/>
          <w:szCs w:val="18"/>
        </w:rPr>
        <w:t>。</w:t>
      </w:r>
    </w:p>
    <w:p w:rsidR="00BA0365" w:rsidRDefault="008D4B2E" w:rsidP="00B818D2">
      <w:pPr>
        <w:keepNext/>
        <w:keepLines/>
        <w:spacing w:before="300" w:after="300"/>
        <w:outlineLvl w:val="3"/>
        <w:rPr>
          <w:rFonts w:ascii="宋体" w:eastAsia="宋体" w:hAnsi="宋体" w:cs="宋体"/>
          <w:b/>
          <w:bCs/>
          <w:szCs w:val="21"/>
        </w:rPr>
      </w:pPr>
      <w:bookmarkStart w:id="192" w:name="_Toc989080"/>
      <w:r>
        <w:rPr>
          <w:rFonts w:ascii="宋体" w:eastAsia="宋体" w:hAnsi="宋体" w:cs="宋体"/>
          <w:b/>
          <w:bCs/>
          <w:szCs w:val="21"/>
        </w:rPr>
        <w:t>（4） 融资租入固定资产的认定依据及计价方法</w:t>
      </w:r>
      <w:bookmarkEnd w:id="192"/>
    </w:p>
    <w:p w:rsidR="008D4B2E" w:rsidRPr="002B59B9" w:rsidRDefault="008D4B2E" w:rsidP="00B818D2">
      <w:pPr>
        <w:pStyle w:val="a3"/>
        <w:spacing w:before="0" w:beforeAutospacing="0" w:after="0" w:afterAutospacing="0"/>
        <w:ind w:firstLine="400"/>
        <w:divId w:val="574389732"/>
        <w:rPr>
          <w:rFonts w:cs="Times New Roman"/>
          <w:sz w:val="18"/>
          <w:szCs w:val="18"/>
        </w:rPr>
      </w:pPr>
      <w:r w:rsidRPr="002B59B9">
        <w:rPr>
          <w:rFonts w:cs="Times New Roman" w:hint="eastAsia"/>
          <w:sz w:val="18"/>
          <w:szCs w:val="18"/>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p>
    <w:p w:rsidR="00BA0365" w:rsidRDefault="008D4B2E" w:rsidP="00B818D2">
      <w:pPr>
        <w:keepNext/>
        <w:keepLines/>
        <w:spacing w:before="300" w:after="300"/>
        <w:outlineLvl w:val="3"/>
        <w:rPr>
          <w:rFonts w:ascii="宋体" w:eastAsia="宋体" w:hAnsi="宋体" w:cs="宋体"/>
          <w:b/>
          <w:bCs/>
          <w:szCs w:val="21"/>
        </w:rPr>
      </w:pPr>
      <w:bookmarkStart w:id="193" w:name="_Toc989081"/>
      <w:r>
        <w:rPr>
          <w:rFonts w:ascii="宋体" w:eastAsia="宋体" w:hAnsi="宋体" w:cs="宋体"/>
          <w:b/>
          <w:bCs/>
          <w:szCs w:val="21"/>
        </w:rPr>
        <w:t>（5） 其他说明</w:t>
      </w:r>
      <w:bookmarkEnd w:id="193"/>
    </w:p>
    <w:p w:rsidR="008D4B2E" w:rsidRPr="002B59B9" w:rsidRDefault="008D4B2E" w:rsidP="00B818D2">
      <w:pPr>
        <w:pStyle w:val="a3"/>
        <w:spacing w:before="0" w:beforeAutospacing="0" w:after="0" w:afterAutospacing="0"/>
        <w:ind w:firstLine="400"/>
        <w:divId w:val="1209486344"/>
        <w:rPr>
          <w:rFonts w:cs="Times New Roman"/>
          <w:sz w:val="18"/>
          <w:szCs w:val="18"/>
        </w:rPr>
      </w:pPr>
      <w:r w:rsidRPr="002B59B9">
        <w:rPr>
          <w:rFonts w:cs="Times New Roman" w:hint="eastAsia"/>
          <w:sz w:val="18"/>
          <w:szCs w:val="18"/>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8D4B2E" w:rsidRPr="002B59B9" w:rsidRDefault="008D4B2E" w:rsidP="00B818D2">
      <w:pPr>
        <w:pStyle w:val="a3"/>
        <w:spacing w:before="0" w:beforeAutospacing="0" w:after="0" w:afterAutospacing="0"/>
        <w:ind w:firstLine="400"/>
        <w:divId w:val="1209486344"/>
        <w:rPr>
          <w:rFonts w:cs="Times New Roman"/>
          <w:sz w:val="18"/>
          <w:szCs w:val="18"/>
        </w:rPr>
      </w:pPr>
      <w:r w:rsidRPr="002B59B9">
        <w:rPr>
          <w:rFonts w:cs="Times New Roman" w:hint="eastAsia"/>
          <w:sz w:val="18"/>
          <w:szCs w:val="18"/>
        </w:rPr>
        <w:t>当固定资产处于处置状态或预期通过使用或处置不能产生经济利益时，终止确认该固定资产。固定资产出售、转让、报废或毁损的处置收入扣除其账面价值和相关税费后的差额计入当期损益。</w:t>
      </w:r>
    </w:p>
    <w:p w:rsidR="008D4B2E" w:rsidRPr="002B59B9" w:rsidRDefault="008D4B2E" w:rsidP="00B818D2">
      <w:pPr>
        <w:pStyle w:val="a3"/>
        <w:spacing w:before="0" w:beforeAutospacing="0" w:after="0" w:afterAutospacing="0"/>
        <w:ind w:firstLine="400"/>
        <w:divId w:val="1209486344"/>
        <w:rPr>
          <w:rFonts w:cs="Times New Roman"/>
          <w:sz w:val="18"/>
          <w:szCs w:val="18"/>
        </w:rPr>
      </w:pPr>
      <w:r w:rsidRPr="002B59B9">
        <w:rPr>
          <w:rFonts w:cs="Times New Roman" w:hint="eastAsia"/>
          <w:sz w:val="18"/>
          <w:szCs w:val="18"/>
        </w:rPr>
        <w:t>本公司至少于年度终了对固定资产的使用寿命、预计净残值和折旧方法进行复核，如发生改变则作为会计估计变更处理。</w:t>
      </w:r>
    </w:p>
    <w:p w:rsidR="00BA0365" w:rsidRDefault="008D4B2E" w:rsidP="00B818D2">
      <w:pPr>
        <w:pStyle w:val="3"/>
        <w:spacing w:line="240" w:lineRule="auto"/>
        <w:jc w:val="left"/>
        <w:rPr>
          <w:rFonts w:ascii="宋体" w:hAnsi="宋体" w:cs="宋体"/>
          <w:b/>
          <w:bCs/>
        </w:rPr>
      </w:pPr>
      <w:bookmarkStart w:id="194" w:name="_Toc989082"/>
      <w:r>
        <w:rPr>
          <w:rFonts w:ascii="宋体" w:hAnsi="宋体" w:cs="宋体"/>
          <w:b/>
          <w:bCs/>
        </w:rPr>
        <w:t>24、在建工程</w:t>
      </w:r>
      <w:bookmarkEnd w:id="194"/>
    </w:p>
    <w:p w:rsidR="00BA0365" w:rsidRPr="002B59B9" w:rsidRDefault="008D4B2E" w:rsidP="00B818D2">
      <w:pPr>
        <w:spacing w:before="100" w:after="100"/>
        <w:rPr>
          <w:rFonts w:ascii="宋体" w:eastAsia="宋体" w:hAnsi="宋体" w:cs="Times New Roman"/>
          <w:kern w:val="0"/>
          <w:sz w:val="18"/>
          <w:szCs w:val="18"/>
        </w:rPr>
      </w:pPr>
      <w:r w:rsidRPr="002B59B9">
        <w:rPr>
          <w:rFonts w:ascii="宋体" w:eastAsia="宋体" w:hAnsi="宋体" w:cs="Times New Roman"/>
          <w:kern w:val="0"/>
          <w:sz w:val="18"/>
          <w:szCs w:val="18"/>
        </w:rPr>
        <w:t>公司需遵守《深圳证券交易所上市公司自律监管指引第3号——行业信息披露》中化工行业的披露要求</w:t>
      </w:r>
    </w:p>
    <w:p w:rsidR="008D4B2E" w:rsidRPr="002B59B9" w:rsidRDefault="008D4B2E" w:rsidP="00B818D2">
      <w:pPr>
        <w:pStyle w:val="a3"/>
        <w:spacing w:before="0" w:beforeAutospacing="0" w:after="0" w:afterAutospacing="0"/>
        <w:ind w:firstLine="400"/>
        <w:divId w:val="1872066479"/>
        <w:rPr>
          <w:rFonts w:cs="Times New Roman"/>
          <w:sz w:val="18"/>
          <w:szCs w:val="18"/>
        </w:rPr>
      </w:pPr>
      <w:r w:rsidRPr="002B59B9">
        <w:rPr>
          <w:rFonts w:cs="Times New Roman" w:hint="eastAsia"/>
          <w:sz w:val="18"/>
          <w:szCs w:val="18"/>
        </w:rPr>
        <w:lastRenderedPageBreak/>
        <w:t>在建工程成本按实际工程支出确定，包括在建期间发生的各项工程支出以及其他相关费用等。在建工程在达到预定可使用状态后结转为固定资产。</w:t>
      </w:r>
    </w:p>
    <w:p w:rsidR="008D4B2E" w:rsidRPr="002B59B9" w:rsidRDefault="008D4B2E" w:rsidP="00B818D2">
      <w:pPr>
        <w:pStyle w:val="a3"/>
        <w:spacing w:before="0" w:beforeAutospacing="0" w:after="0" w:afterAutospacing="0"/>
        <w:divId w:val="1872066479"/>
        <w:rPr>
          <w:rFonts w:cs="Times New Roman"/>
          <w:sz w:val="18"/>
          <w:szCs w:val="18"/>
        </w:rPr>
      </w:pPr>
      <w:r w:rsidRPr="002B59B9">
        <w:rPr>
          <w:rFonts w:cs="Times New Roman" w:hint="eastAsia"/>
          <w:sz w:val="18"/>
          <w:szCs w:val="18"/>
        </w:rPr>
        <w:t>   在建工程的减值测试方法和减值准备计提方法详见附注四、</w:t>
      </w:r>
      <w:r w:rsidRPr="002B59B9">
        <w:rPr>
          <w:rFonts w:cs="Times New Roman"/>
          <w:sz w:val="18"/>
          <w:szCs w:val="18"/>
        </w:rPr>
        <w:t>“</w:t>
      </w:r>
      <w:r w:rsidRPr="002B59B9">
        <w:rPr>
          <w:rFonts w:cs="Times New Roman" w:hint="eastAsia"/>
          <w:sz w:val="18"/>
          <w:szCs w:val="18"/>
        </w:rPr>
        <w:t>长期资产减值</w:t>
      </w:r>
      <w:r w:rsidRPr="002B59B9">
        <w:rPr>
          <w:rFonts w:cs="Times New Roman"/>
          <w:sz w:val="18"/>
          <w:szCs w:val="18"/>
        </w:rPr>
        <w:t>”</w:t>
      </w:r>
      <w:r w:rsidRPr="002B59B9">
        <w:rPr>
          <w:rFonts w:cs="Times New Roman" w:hint="eastAsia"/>
          <w:sz w:val="18"/>
          <w:szCs w:val="18"/>
        </w:rPr>
        <w:t>。</w:t>
      </w:r>
    </w:p>
    <w:p w:rsidR="00BA0365" w:rsidRDefault="008D4B2E" w:rsidP="00B818D2">
      <w:pPr>
        <w:pStyle w:val="3"/>
        <w:spacing w:line="240" w:lineRule="auto"/>
        <w:jc w:val="left"/>
        <w:rPr>
          <w:rFonts w:ascii="宋体" w:hAnsi="宋体" w:cs="宋体"/>
          <w:b/>
          <w:bCs/>
        </w:rPr>
      </w:pPr>
      <w:bookmarkStart w:id="195" w:name="_Toc989083"/>
      <w:r>
        <w:rPr>
          <w:rFonts w:ascii="宋体" w:hAnsi="宋体" w:cs="宋体"/>
          <w:b/>
          <w:bCs/>
        </w:rPr>
        <w:t>25、借款费用</w:t>
      </w:r>
      <w:bookmarkEnd w:id="195"/>
    </w:p>
    <w:p w:rsidR="008D4B2E" w:rsidRPr="002B59B9" w:rsidRDefault="008D4B2E" w:rsidP="00B818D2">
      <w:pPr>
        <w:pStyle w:val="a3"/>
        <w:spacing w:before="0" w:beforeAutospacing="0" w:after="0" w:afterAutospacing="0"/>
        <w:ind w:firstLine="400"/>
        <w:divId w:val="517890381"/>
        <w:rPr>
          <w:rFonts w:cs="Times New Roman"/>
          <w:sz w:val="18"/>
          <w:szCs w:val="18"/>
        </w:rPr>
      </w:pPr>
      <w:r w:rsidRPr="002B59B9">
        <w:rPr>
          <w:rFonts w:cs="Times New Roman" w:hint="eastAsia"/>
          <w:sz w:val="18"/>
          <w:szCs w:val="18"/>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8D4B2E" w:rsidRPr="002B59B9" w:rsidRDefault="008D4B2E" w:rsidP="00B818D2">
      <w:pPr>
        <w:pStyle w:val="a3"/>
        <w:spacing w:before="0" w:beforeAutospacing="0" w:after="0" w:afterAutospacing="0"/>
        <w:ind w:firstLine="400"/>
        <w:divId w:val="517890381"/>
        <w:rPr>
          <w:rFonts w:cs="Times New Roman"/>
          <w:sz w:val="18"/>
          <w:szCs w:val="18"/>
        </w:rPr>
      </w:pPr>
      <w:r w:rsidRPr="002B59B9">
        <w:rPr>
          <w:rFonts w:cs="Times New Roman" w:hint="eastAsia"/>
          <w:sz w:val="18"/>
          <w:szCs w:val="18"/>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8D4B2E" w:rsidRPr="002B59B9" w:rsidRDefault="008D4B2E" w:rsidP="00B818D2">
      <w:pPr>
        <w:pStyle w:val="a3"/>
        <w:spacing w:before="0" w:beforeAutospacing="0" w:after="0" w:afterAutospacing="0"/>
        <w:ind w:firstLine="400"/>
        <w:divId w:val="517890381"/>
        <w:rPr>
          <w:rFonts w:cs="Times New Roman"/>
          <w:sz w:val="18"/>
          <w:szCs w:val="18"/>
        </w:rPr>
      </w:pPr>
      <w:r w:rsidRPr="002B59B9">
        <w:rPr>
          <w:rFonts w:cs="Times New Roman" w:hint="eastAsia"/>
          <w:sz w:val="18"/>
          <w:szCs w:val="18"/>
        </w:rPr>
        <w:t>资本</w:t>
      </w:r>
      <w:proofErr w:type="gramStart"/>
      <w:r w:rsidRPr="002B59B9">
        <w:rPr>
          <w:rFonts w:cs="Times New Roman" w:hint="eastAsia"/>
          <w:sz w:val="18"/>
          <w:szCs w:val="18"/>
        </w:rPr>
        <w:t>化期间</w:t>
      </w:r>
      <w:proofErr w:type="gramEnd"/>
      <w:r w:rsidRPr="002B59B9">
        <w:rPr>
          <w:rFonts w:cs="Times New Roman" w:hint="eastAsia"/>
          <w:sz w:val="18"/>
          <w:szCs w:val="18"/>
        </w:rPr>
        <w:t>内，外币专门借款的汇兑差额全部予以资本化；外币一般借款的汇兑差额计入当期损益。</w:t>
      </w:r>
    </w:p>
    <w:p w:rsidR="008D4B2E" w:rsidRPr="002B59B9" w:rsidRDefault="008D4B2E" w:rsidP="00B818D2">
      <w:pPr>
        <w:pStyle w:val="a3"/>
        <w:spacing w:before="0" w:beforeAutospacing="0" w:after="0" w:afterAutospacing="0"/>
        <w:ind w:firstLine="400"/>
        <w:divId w:val="517890381"/>
        <w:rPr>
          <w:rFonts w:cs="Times New Roman"/>
          <w:sz w:val="18"/>
          <w:szCs w:val="18"/>
        </w:rPr>
      </w:pPr>
      <w:r w:rsidRPr="002B59B9">
        <w:rPr>
          <w:rFonts w:cs="Times New Roman" w:hint="eastAsia"/>
          <w:sz w:val="18"/>
          <w:szCs w:val="18"/>
        </w:rPr>
        <w:t>符合资本化条件的资产指需要经过相当长时间的购建或者生产活动才能达到预定可使用或可销售状态的固定资产、投资性房地产和存货等资产。</w:t>
      </w:r>
    </w:p>
    <w:p w:rsidR="008D4B2E" w:rsidRPr="002B59B9" w:rsidRDefault="008D4B2E" w:rsidP="00B818D2">
      <w:pPr>
        <w:pStyle w:val="a3"/>
        <w:spacing w:before="0" w:beforeAutospacing="0" w:after="0" w:afterAutospacing="0"/>
        <w:ind w:firstLine="400"/>
        <w:jc w:val="both"/>
        <w:divId w:val="517890381"/>
        <w:rPr>
          <w:rFonts w:cs="Times New Roman"/>
          <w:sz w:val="18"/>
          <w:szCs w:val="18"/>
        </w:rPr>
      </w:pPr>
      <w:r w:rsidRPr="002B59B9">
        <w:rPr>
          <w:rFonts w:cs="Times New Roman" w:hint="eastAsia"/>
          <w:sz w:val="18"/>
          <w:szCs w:val="18"/>
        </w:rPr>
        <w:t>如果符合资本化条件的资产在购建或生产过程中发生非正常中断、并且中断时间连续超过</w:t>
      </w:r>
      <w:r w:rsidRPr="002B59B9">
        <w:rPr>
          <w:rFonts w:cs="Times New Roman"/>
          <w:sz w:val="18"/>
          <w:szCs w:val="18"/>
        </w:rPr>
        <w:t>3</w:t>
      </w:r>
      <w:r w:rsidRPr="002B59B9">
        <w:rPr>
          <w:rFonts w:cs="Times New Roman" w:hint="eastAsia"/>
          <w:sz w:val="18"/>
          <w:szCs w:val="18"/>
        </w:rPr>
        <w:t>个月的，暂停借款费用的资本化，直至资产的购建或生产活动重新开始。</w:t>
      </w:r>
    </w:p>
    <w:p w:rsidR="00BA0365" w:rsidRDefault="008D4B2E" w:rsidP="00B818D2">
      <w:pPr>
        <w:pStyle w:val="3"/>
        <w:spacing w:line="240" w:lineRule="auto"/>
        <w:jc w:val="left"/>
        <w:rPr>
          <w:rFonts w:ascii="宋体" w:hAnsi="宋体" w:cs="宋体"/>
          <w:b/>
          <w:bCs/>
        </w:rPr>
      </w:pPr>
      <w:bookmarkStart w:id="196" w:name="_Toc989084"/>
      <w:r>
        <w:rPr>
          <w:rFonts w:ascii="宋体" w:hAnsi="宋体" w:cs="宋体"/>
          <w:b/>
          <w:bCs/>
        </w:rPr>
        <w:t>26、无形资产</w:t>
      </w:r>
      <w:bookmarkEnd w:id="196"/>
    </w:p>
    <w:p w:rsidR="00BA0365" w:rsidRDefault="008D4B2E" w:rsidP="00B818D2">
      <w:pPr>
        <w:keepNext/>
        <w:keepLines/>
        <w:spacing w:before="300" w:after="300"/>
        <w:outlineLvl w:val="3"/>
        <w:rPr>
          <w:rFonts w:ascii="宋体" w:eastAsia="宋体" w:hAnsi="宋体" w:cs="宋体"/>
          <w:b/>
          <w:bCs/>
          <w:szCs w:val="21"/>
        </w:rPr>
      </w:pPr>
      <w:bookmarkStart w:id="197" w:name="_Toc989085"/>
      <w:r>
        <w:rPr>
          <w:rFonts w:ascii="宋体" w:eastAsia="宋体" w:hAnsi="宋体" w:cs="宋体"/>
          <w:b/>
          <w:bCs/>
          <w:szCs w:val="21"/>
        </w:rPr>
        <w:t>（1） 使用寿命及其确定依据、估计情况、摊销方法或复核程序</w:t>
      </w:r>
      <w:bookmarkEnd w:id="197"/>
    </w:p>
    <w:p w:rsidR="008D4B2E" w:rsidRPr="002B59B9" w:rsidRDefault="008D4B2E" w:rsidP="00B818D2">
      <w:pPr>
        <w:pStyle w:val="a3"/>
        <w:spacing w:before="0" w:beforeAutospacing="0" w:after="0" w:afterAutospacing="0"/>
        <w:ind w:firstLine="400"/>
        <w:divId w:val="1596476145"/>
        <w:rPr>
          <w:rFonts w:cs="Times New Roman"/>
          <w:sz w:val="18"/>
          <w:szCs w:val="18"/>
        </w:rPr>
      </w:pPr>
      <w:r w:rsidRPr="002B59B9">
        <w:rPr>
          <w:rFonts w:cs="Times New Roman" w:hint="eastAsia"/>
          <w:sz w:val="18"/>
          <w:szCs w:val="18"/>
        </w:rPr>
        <w:t>无形资产是指本公司拥有或者控制的没有实物形态的可</w:t>
      </w:r>
      <w:proofErr w:type="gramStart"/>
      <w:r w:rsidRPr="002B59B9">
        <w:rPr>
          <w:rFonts w:cs="Times New Roman" w:hint="eastAsia"/>
          <w:sz w:val="18"/>
          <w:szCs w:val="18"/>
        </w:rPr>
        <w:t>辨认非</w:t>
      </w:r>
      <w:proofErr w:type="gramEnd"/>
      <w:r w:rsidRPr="002B59B9">
        <w:rPr>
          <w:rFonts w:cs="Times New Roman" w:hint="eastAsia"/>
          <w:sz w:val="18"/>
          <w:szCs w:val="18"/>
        </w:rPr>
        <w:t>货币性资产。</w:t>
      </w:r>
    </w:p>
    <w:p w:rsidR="008D4B2E" w:rsidRPr="002B59B9" w:rsidRDefault="008D4B2E" w:rsidP="00B818D2">
      <w:pPr>
        <w:pStyle w:val="a3"/>
        <w:spacing w:before="0" w:beforeAutospacing="0" w:after="0" w:afterAutospacing="0"/>
        <w:ind w:firstLine="400"/>
        <w:divId w:val="1596476145"/>
        <w:rPr>
          <w:rFonts w:cs="Times New Roman"/>
          <w:sz w:val="18"/>
          <w:szCs w:val="18"/>
        </w:rPr>
      </w:pPr>
      <w:r w:rsidRPr="002B59B9">
        <w:rPr>
          <w:rFonts w:cs="Times New Roman" w:hint="eastAsia"/>
          <w:sz w:val="18"/>
          <w:szCs w:val="18"/>
        </w:rPr>
        <w:t>无形资产按成本进行初始计量。与无形资产有关的支出，如果相关的经济利益很可能流入本公司且其成本能可靠地计量，则计入无形资产成本。除此以外的其他项目的支出，在发生时计入当期损益。</w:t>
      </w:r>
    </w:p>
    <w:p w:rsidR="008D4B2E" w:rsidRPr="002B59B9" w:rsidRDefault="008D4B2E" w:rsidP="00B818D2">
      <w:pPr>
        <w:pStyle w:val="a3"/>
        <w:spacing w:before="0" w:beforeAutospacing="0" w:after="0" w:afterAutospacing="0"/>
        <w:ind w:firstLine="400"/>
        <w:divId w:val="1596476145"/>
        <w:rPr>
          <w:rFonts w:cs="Times New Roman"/>
          <w:sz w:val="18"/>
          <w:szCs w:val="18"/>
        </w:rPr>
      </w:pPr>
      <w:r w:rsidRPr="002B59B9">
        <w:rPr>
          <w:rFonts w:cs="Times New Roman" w:hint="eastAsia"/>
          <w:sz w:val="18"/>
          <w:szCs w:val="18"/>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8D4B2E" w:rsidRPr="002B59B9" w:rsidRDefault="008D4B2E" w:rsidP="00B818D2">
      <w:pPr>
        <w:pStyle w:val="a3"/>
        <w:spacing w:before="0" w:beforeAutospacing="0" w:after="0" w:afterAutospacing="0"/>
        <w:ind w:firstLine="400"/>
        <w:divId w:val="1596476145"/>
        <w:rPr>
          <w:rFonts w:cs="Times New Roman"/>
          <w:sz w:val="18"/>
          <w:szCs w:val="18"/>
        </w:rPr>
      </w:pPr>
      <w:r w:rsidRPr="002B59B9">
        <w:rPr>
          <w:rFonts w:cs="Times New Roman" w:hint="eastAsia"/>
          <w:sz w:val="18"/>
          <w:szCs w:val="18"/>
        </w:rPr>
        <w:t>使用寿命有限的无形资产自可供使用时起，对其原值减去预计净残值和已计提的减值准备累计金额在其预计使用寿命内采用直线法分期平均摊销。使用寿命不确定的无形资产不予摊销。</w:t>
      </w:r>
    </w:p>
    <w:tbl>
      <w:tblPr>
        <w:tblW w:w="5074" w:type="pct"/>
        <w:jc w:val="center"/>
        <w:tblCellMar>
          <w:top w:w="15" w:type="dxa"/>
          <w:left w:w="15" w:type="dxa"/>
          <w:bottom w:w="15" w:type="dxa"/>
          <w:right w:w="15" w:type="dxa"/>
        </w:tblCellMar>
        <w:tblLook w:val="04A0" w:firstRow="1" w:lastRow="0" w:firstColumn="1" w:lastColumn="0" w:noHBand="0" w:noVBand="1"/>
      </w:tblPr>
      <w:tblGrid>
        <w:gridCol w:w="3196"/>
        <w:gridCol w:w="2122"/>
        <w:gridCol w:w="2487"/>
        <w:gridCol w:w="1954"/>
      </w:tblGrid>
      <w:tr w:rsidR="008D4B2E" w:rsidTr="00B818D2">
        <w:trPr>
          <w:divId w:val="1596476145"/>
          <w:trHeight w:val="429"/>
          <w:jc w:val="center"/>
        </w:trPr>
        <w:tc>
          <w:tcPr>
            <w:tcW w:w="1638" w:type="pct"/>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jc w:val="center"/>
              <w:rPr>
                <w:rFonts w:cs="Times New Roman"/>
                <w:sz w:val="18"/>
                <w:szCs w:val="18"/>
              </w:rPr>
            </w:pPr>
            <w:r w:rsidRPr="002B59B9">
              <w:rPr>
                <w:rFonts w:cs="Times New Roman" w:hint="eastAsia"/>
                <w:sz w:val="18"/>
                <w:szCs w:val="18"/>
              </w:rPr>
              <w:t>类别</w:t>
            </w:r>
          </w:p>
        </w:tc>
        <w:tc>
          <w:tcPr>
            <w:tcW w:w="1087" w:type="pc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jc w:val="center"/>
              <w:rPr>
                <w:rFonts w:cs="Times New Roman"/>
                <w:sz w:val="18"/>
                <w:szCs w:val="18"/>
              </w:rPr>
            </w:pPr>
            <w:r w:rsidRPr="002B59B9">
              <w:rPr>
                <w:rFonts w:cs="Times New Roman" w:hint="eastAsia"/>
                <w:sz w:val="18"/>
                <w:szCs w:val="18"/>
              </w:rPr>
              <w:t>使用寿命</w:t>
            </w:r>
          </w:p>
        </w:tc>
        <w:tc>
          <w:tcPr>
            <w:tcW w:w="1274" w:type="pc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jc w:val="center"/>
              <w:rPr>
                <w:rFonts w:cs="Times New Roman"/>
                <w:sz w:val="18"/>
                <w:szCs w:val="18"/>
              </w:rPr>
            </w:pPr>
            <w:r w:rsidRPr="002B59B9">
              <w:rPr>
                <w:rFonts w:cs="Times New Roman" w:hint="eastAsia"/>
                <w:sz w:val="18"/>
                <w:szCs w:val="18"/>
              </w:rPr>
              <w:t>摊销方法</w:t>
            </w:r>
          </w:p>
        </w:tc>
        <w:tc>
          <w:tcPr>
            <w:tcW w:w="1001" w:type="pc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jc w:val="center"/>
              <w:rPr>
                <w:rFonts w:cs="Times New Roman"/>
                <w:sz w:val="18"/>
                <w:szCs w:val="18"/>
              </w:rPr>
            </w:pPr>
            <w:r w:rsidRPr="002B59B9">
              <w:rPr>
                <w:rFonts w:cs="Times New Roman" w:hint="eastAsia"/>
                <w:sz w:val="18"/>
                <w:szCs w:val="18"/>
              </w:rPr>
              <w:t>备注</w:t>
            </w:r>
          </w:p>
        </w:tc>
      </w:tr>
      <w:tr w:rsidR="008D4B2E" w:rsidTr="00B818D2">
        <w:trPr>
          <w:divId w:val="1596476145"/>
          <w:trHeight w:val="442"/>
          <w:jc w:val="center"/>
        </w:trPr>
        <w:tc>
          <w:tcPr>
            <w:tcW w:w="1638" w:type="pct"/>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rPr>
                <w:rFonts w:cs="Times New Roman"/>
                <w:sz w:val="18"/>
                <w:szCs w:val="18"/>
              </w:rPr>
            </w:pPr>
            <w:r w:rsidRPr="002B59B9">
              <w:rPr>
                <w:rFonts w:cs="Times New Roman" w:hint="eastAsia"/>
                <w:sz w:val="18"/>
                <w:szCs w:val="18"/>
              </w:rPr>
              <w:t>非专利技术</w:t>
            </w:r>
          </w:p>
        </w:tc>
        <w:tc>
          <w:tcPr>
            <w:tcW w:w="10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2-15</w:t>
            </w:r>
            <w:r w:rsidRPr="002B59B9">
              <w:rPr>
                <w:rFonts w:cs="Times New Roman" w:hint="eastAsia"/>
                <w:sz w:val="18"/>
                <w:szCs w:val="18"/>
              </w:rPr>
              <w:t>年</w:t>
            </w:r>
          </w:p>
        </w:tc>
        <w:tc>
          <w:tcPr>
            <w:tcW w:w="12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hint="eastAsia"/>
                <w:sz w:val="18"/>
                <w:szCs w:val="18"/>
              </w:rPr>
              <w:t>受益年限</w:t>
            </w:r>
          </w:p>
        </w:tc>
        <w:tc>
          <w:tcPr>
            <w:tcW w:w="10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 </w:t>
            </w:r>
          </w:p>
        </w:tc>
      </w:tr>
      <w:tr w:rsidR="008D4B2E" w:rsidTr="00B818D2">
        <w:trPr>
          <w:divId w:val="1596476145"/>
          <w:trHeight w:val="442"/>
          <w:jc w:val="center"/>
        </w:trPr>
        <w:tc>
          <w:tcPr>
            <w:tcW w:w="1638" w:type="pct"/>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rPr>
                <w:rFonts w:cs="Times New Roman"/>
                <w:sz w:val="18"/>
                <w:szCs w:val="18"/>
              </w:rPr>
            </w:pPr>
            <w:r w:rsidRPr="002B59B9">
              <w:rPr>
                <w:rFonts w:cs="Times New Roman" w:hint="eastAsia"/>
                <w:sz w:val="18"/>
                <w:szCs w:val="18"/>
              </w:rPr>
              <w:t>软件</w:t>
            </w:r>
          </w:p>
        </w:tc>
        <w:tc>
          <w:tcPr>
            <w:tcW w:w="10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2-15</w:t>
            </w:r>
            <w:r w:rsidRPr="002B59B9">
              <w:rPr>
                <w:rFonts w:cs="Times New Roman" w:hint="eastAsia"/>
                <w:sz w:val="18"/>
                <w:szCs w:val="18"/>
              </w:rPr>
              <w:t>年</w:t>
            </w:r>
          </w:p>
        </w:tc>
        <w:tc>
          <w:tcPr>
            <w:tcW w:w="12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hint="eastAsia"/>
                <w:sz w:val="18"/>
                <w:szCs w:val="18"/>
              </w:rPr>
              <w:t>受益年限</w:t>
            </w:r>
          </w:p>
        </w:tc>
        <w:tc>
          <w:tcPr>
            <w:tcW w:w="10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 </w:t>
            </w:r>
          </w:p>
        </w:tc>
      </w:tr>
      <w:tr w:rsidR="008D4B2E" w:rsidTr="00B818D2">
        <w:trPr>
          <w:divId w:val="1596476145"/>
          <w:trHeight w:val="442"/>
          <w:jc w:val="center"/>
        </w:trPr>
        <w:tc>
          <w:tcPr>
            <w:tcW w:w="1638" w:type="pct"/>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rPr>
                <w:rFonts w:cs="Times New Roman"/>
                <w:sz w:val="18"/>
                <w:szCs w:val="18"/>
              </w:rPr>
            </w:pPr>
            <w:r w:rsidRPr="002B59B9">
              <w:rPr>
                <w:rFonts w:cs="Times New Roman" w:hint="eastAsia"/>
                <w:sz w:val="18"/>
                <w:szCs w:val="18"/>
              </w:rPr>
              <w:t>土地使用权</w:t>
            </w:r>
          </w:p>
        </w:tc>
        <w:tc>
          <w:tcPr>
            <w:tcW w:w="10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50</w:t>
            </w:r>
            <w:r w:rsidRPr="002B59B9">
              <w:rPr>
                <w:rFonts w:cs="Times New Roman" w:hint="eastAsia"/>
                <w:sz w:val="18"/>
                <w:szCs w:val="18"/>
              </w:rPr>
              <w:t>年</w:t>
            </w:r>
          </w:p>
        </w:tc>
        <w:tc>
          <w:tcPr>
            <w:tcW w:w="12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hint="eastAsia"/>
                <w:sz w:val="18"/>
                <w:szCs w:val="18"/>
              </w:rPr>
              <w:t>土地使用年限</w:t>
            </w:r>
          </w:p>
        </w:tc>
        <w:tc>
          <w:tcPr>
            <w:tcW w:w="10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 </w:t>
            </w:r>
          </w:p>
        </w:tc>
      </w:tr>
      <w:tr w:rsidR="008D4B2E" w:rsidTr="00B818D2">
        <w:trPr>
          <w:divId w:val="1596476145"/>
          <w:trHeight w:val="442"/>
          <w:jc w:val="center"/>
        </w:trPr>
        <w:tc>
          <w:tcPr>
            <w:tcW w:w="1638" w:type="pct"/>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2B59B9" w:rsidRDefault="008D4B2E" w:rsidP="00B818D2">
            <w:pPr>
              <w:pStyle w:val="17"/>
              <w:rPr>
                <w:rFonts w:cs="Times New Roman"/>
                <w:sz w:val="18"/>
                <w:szCs w:val="18"/>
              </w:rPr>
            </w:pPr>
            <w:r w:rsidRPr="002B59B9">
              <w:rPr>
                <w:rFonts w:cs="Times New Roman" w:hint="eastAsia"/>
                <w:sz w:val="18"/>
                <w:szCs w:val="18"/>
              </w:rPr>
              <w:t>专利权</w:t>
            </w:r>
          </w:p>
        </w:tc>
        <w:tc>
          <w:tcPr>
            <w:tcW w:w="10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2-15</w:t>
            </w:r>
            <w:r w:rsidRPr="002B59B9">
              <w:rPr>
                <w:rFonts w:cs="Times New Roman" w:hint="eastAsia"/>
                <w:sz w:val="18"/>
                <w:szCs w:val="18"/>
              </w:rPr>
              <w:t>年</w:t>
            </w:r>
          </w:p>
        </w:tc>
        <w:tc>
          <w:tcPr>
            <w:tcW w:w="127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hint="eastAsia"/>
                <w:sz w:val="18"/>
                <w:szCs w:val="18"/>
              </w:rPr>
              <w:t>受益年限</w:t>
            </w:r>
          </w:p>
        </w:tc>
        <w:tc>
          <w:tcPr>
            <w:tcW w:w="10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2B59B9" w:rsidRDefault="008D4B2E" w:rsidP="00B818D2">
            <w:pPr>
              <w:pStyle w:val="17"/>
              <w:jc w:val="right"/>
              <w:rPr>
                <w:rFonts w:cs="Times New Roman"/>
                <w:sz w:val="18"/>
                <w:szCs w:val="18"/>
              </w:rPr>
            </w:pPr>
            <w:r w:rsidRPr="002B59B9">
              <w:rPr>
                <w:rFonts w:cs="Times New Roman"/>
                <w:sz w:val="18"/>
                <w:szCs w:val="18"/>
              </w:rPr>
              <w:t> </w:t>
            </w:r>
          </w:p>
        </w:tc>
      </w:tr>
    </w:tbl>
    <w:p w:rsidR="008D4B2E" w:rsidRPr="002B59B9" w:rsidRDefault="008D4B2E" w:rsidP="00B818D2">
      <w:pPr>
        <w:pStyle w:val="a3"/>
        <w:spacing w:before="0" w:beforeAutospacing="0" w:after="0" w:afterAutospacing="0"/>
        <w:ind w:firstLine="400"/>
        <w:divId w:val="1596476145"/>
        <w:rPr>
          <w:rFonts w:cs="Times New Roman"/>
          <w:sz w:val="18"/>
          <w:szCs w:val="18"/>
        </w:rPr>
      </w:pPr>
      <w:r w:rsidRPr="002B59B9">
        <w:rPr>
          <w:rFonts w:cs="Times New Roman" w:hint="eastAsia"/>
          <w:sz w:val="18"/>
          <w:szCs w:val="18"/>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BA0365" w:rsidRDefault="008D4B2E" w:rsidP="00B818D2">
      <w:pPr>
        <w:keepNext/>
        <w:keepLines/>
        <w:spacing w:before="300" w:after="300"/>
        <w:outlineLvl w:val="3"/>
        <w:rPr>
          <w:rFonts w:ascii="宋体" w:eastAsia="宋体" w:hAnsi="宋体" w:cs="宋体"/>
          <w:b/>
          <w:bCs/>
          <w:szCs w:val="21"/>
        </w:rPr>
      </w:pPr>
      <w:bookmarkStart w:id="198" w:name="_Toc989086"/>
      <w:r>
        <w:rPr>
          <w:rFonts w:ascii="宋体" w:eastAsia="宋体" w:hAnsi="宋体" w:cs="宋体"/>
          <w:b/>
          <w:bCs/>
          <w:szCs w:val="21"/>
        </w:rPr>
        <w:lastRenderedPageBreak/>
        <w:t>（2） 研发支出的归集范围及相关会计处理方法</w:t>
      </w:r>
      <w:bookmarkEnd w:id="198"/>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本公司内部研究开发项目的支出分为研究阶段支出与开发阶段支出。</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研究阶段的支出，于发生时计入当期损益。</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开发阶段的支出同时满足下列条件的，确认为无形资产，不能满足下述条件的开发阶段的支出计入当期损益：</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①</w:t>
      </w:r>
      <w:r w:rsidRPr="002B59B9">
        <w:rPr>
          <w:rFonts w:cs="Times New Roman"/>
          <w:sz w:val="18"/>
          <w:szCs w:val="18"/>
        </w:rPr>
        <w:t> </w:t>
      </w:r>
      <w:r w:rsidRPr="002B59B9">
        <w:rPr>
          <w:rFonts w:cs="Times New Roman" w:hint="eastAsia"/>
          <w:sz w:val="18"/>
          <w:szCs w:val="18"/>
        </w:rPr>
        <w:t>完成该无形资产以使其能够使用或出售在技术上具有可行性；</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②</w:t>
      </w:r>
      <w:r w:rsidRPr="002B59B9">
        <w:rPr>
          <w:rFonts w:cs="Times New Roman"/>
          <w:sz w:val="18"/>
          <w:szCs w:val="18"/>
        </w:rPr>
        <w:t> </w:t>
      </w:r>
      <w:r w:rsidRPr="002B59B9">
        <w:rPr>
          <w:rFonts w:cs="Times New Roman" w:hint="eastAsia"/>
          <w:sz w:val="18"/>
          <w:szCs w:val="18"/>
        </w:rPr>
        <w:t>具有完成该无形资产并使用或出售的意图；</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③</w:t>
      </w:r>
      <w:r w:rsidRPr="002B59B9">
        <w:rPr>
          <w:rFonts w:cs="Times New Roman"/>
          <w:sz w:val="18"/>
          <w:szCs w:val="18"/>
        </w:rPr>
        <w:t> </w:t>
      </w:r>
      <w:r w:rsidRPr="002B59B9">
        <w:rPr>
          <w:rFonts w:cs="Times New Roman" w:hint="eastAsia"/>
          <w:sz w:val="18"/>
          <w:szCs w:val="18"/>
        </w:rPr>
        <w:t>无形资产产生经济利益的方式，包括能够证明运用该无形资产生产的产品存在市场或无形资产自身存在市场，无形资产将在内部使用的，能够证明其有用性；</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④</w:t>
      </w:r>
      <w:r w:rsidRPr="002B59B9">
        <w:rPr>
          <w:rFonts w:cs="Times New Roman"/>
          <w:sz w:val="18"/>
          <w:szCs w:val="18"/>
        </w:rPr>
        <w:t> </w:t>
      </w:r>
      <w:r w:rsidRPr="002B59B9">
        <w:rPr>
          <w:rFonts w:cs="Times New Roman" w:hint="eastAsia"/>
          <w:sz w:val="18"/>
          <w:szCs w:val="18"/>
        </w:rPr>
        <w:t>有足够的技术、财务资源和其他资源支持，以完成该无形资产的开发，并有能力使用或出售该无形资产；</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⑤</w:t>
      </w:r>
      <w:r w:rsidRPr="002B59B9">
        <w:rPr>
          <w:rFonts w:cs="Times New Roman"/>
          <w:sz w:val="18"/>
          <w:szCs w:val="18"/>
        </w:rPr>
        <w:t> </w:t>
      </w:r>
      <w:r w:rsidRPr="002B59B9">
        <w:rPr>
          <w:rFonts w:cs="Times New Roman" w:hint="eastAsia"/>
          <w:sz w:val="18"/>
          <w:szCs w:val="18"/>
        </w:rPr>
        <w:t>归属于该无形资产开发阶段的支出能够可靠地计量。</w:t>
      </w:r>
    </w:p>
    <w:p w:rsidR="008D4B2E" w:rsidRPr="002B59B9" w:rsidRDefault="008D4B2E" w:rsidP="00B818D2">
      <w:pPr>
        <w:pStyle w:val="a3"/>
        <w:spacing w:before="0" w:beforeAutospacing="0" w:after="0" w:afterAutospacing="0"/>
        <w:ind w:firstLine="400"/>
        <w:divId w:val="264075333"/>
        <w:rPr>
          <w:rFonts w:cs="Times New Roman"/>
          <w:sz w:val="18"/>
          <w:szCs w:val="18"/>
        </w:rPr>
      </w:pPr>
      <w:r w:rsidRPr="002B59B9">
        <w:rPr>
          <w:rFonts w:cs="Times New Roman" w:hint="eastAsia"/>
          <w:sz w:val="18"/>
          <w:szCs w:val="18"/>
        </w:rPr>
        <w:t>无法区分研究阶段支出和开发阶段支出的，将发生的研发支出全部计入当期损益。</w:t>
      </w:r>
    </w:p>
    <w:p w:rsidR="00BA0365" w:rsidRDefault="008D4B2E" w:rsidP="00B818D2">
      <w:pPr>
        <w:keepNext/>
        <w:keepLines/>
        <w:spacing w:before="300" w:after="300"/>
        <w:outlineLvl w:val="3"/>
        <w:rPr>
          <w:rFonts w:ascii="宋体" w:eastAsia="宋体" w:hAnsi="宋体" w:cs="宋体"/>
          <w:b/>
          <w:bCs/>
          <w:szCs w:val="21"/>
        </w:rPr>
      </w:pPr>
      <w:bookmarkStart w:id="199" w:name="_Toc989087"/>
      <w:r>
        <w:rPr>
          <w:rFonts w:ascii="宋体" w:eastAsia="宋体" w:hAnsi="宋体" w:cs="宋体"/>
          <w:b/>
          <w:bCs/>
          <w:szCs w:val="21"/>
        </w:rPr>
        <w:t>（3） 无形资产的减值测试方法及减值准备计提方法</w:t>
      </w:r>
      <w:bookmarkEnd w:id="199"/>
    </w:p>
    <w:p w:rsidR="008D4B2E" w:rsidRPr="002B59B9" w:rsidRDefault="008D4B2E" w:rsidP="00B818D2">
      <w:pPr>
        <w:pStyle w:val="a3"/>
        <w:ind w:firstLineChars="200" w:firstLine="360"/>
        <w:divId w:val="360134559"/>
        <w:rPr>
          <w:rFonts w:cs="Times New Roman"/>
          <w:sz w:val="18"/>
          <w:szCs w:val="18"/>
        </w:rPr>
      </w:pPr>
      <w:r w:rsidRPr="002B59B9">
        <w:rPr>
          <w:rFonts w:cs="Times New Roman" w:hint="eastAsia"/>
          <w:sz w:val="18"/>
          <w:szCs w:val="18"/>
        </w:rPr>
        <w:t>无形资产的减值测试方法和减值准备计提方法详见附注</w:t>
      </w:r>
      <w:r w:rsidRPr="002B59B9">
        <w:rPr>
          <w:rFonts w:cs="Times New Roman"/>
          <w:sz w:val="18"/>
          <w:szCs w:val="18"/>
        </w:rPr>
        <w:t>“</w:t>
      </w:r>
      <w:r w:rsidRPr="002B59B9">
        <w:rPr>
          <w:rFonts w:cs="Times New Roman" w:hint="eastAsia"/>
          <w:sz w:val="18"/>
          <w:szCs w:val="18"/>
        </w:rPr>
        <w:t>长期资产减值</w:t>
      </w:r>
      <w:r w:rsidRPr="002B59B9">
        <w:rPr>
          <w:rFonts w:cs="Times New Roman"/>
          <w:sz w:val="18"/>
          <w:szCs w:val="18"/>
        </w:rPr>
        <w:t>”</w:t>
      </w:r>
      <w:r w:rsidRPr="002B59B9">
        <w:rPr>
          <w:rFonts w:cs="Times New Roman" w:hint="eastAsia"/>
          <w:sz w:val="18"/>
          <w:szCs w:val="18"/>
        </w:rPr>
        <w:t>。</w:t>
      </w:r>
    </w:p>
    <w:p w:rsidR="00BA0365" w:rsidRDefault="008D4B2E" w:rsidP="00B818D2">
      <w:pPr>
        <w:pStyle w:val="3"/>
        <w:spacing w:line="240" w:lineRule="auto"/>
        <w:jc w:val="left"/>
        <w:rPr>
          <w:rFonts w:ascii="宋体" w:hAnsi="宋体" w:cs="宋体"/>
          <w:b/>
          <w:bCs/>
        </w:rPr>
      </w:pPr>
      <w:bookmarkStart w:id="200" w:name="_Toc989088"/>
      <w:r>
        <w:rPr>
          <w:rFonts w:ascii="宋体" w:hAnsi="宋体" w:cs="宋体"/>
          <w:b/>
          <w:bCs/>
        </w:rPr>
        <w:t>27、长期资产减值</w:t>
      </w:r>
      <w:bookmarkEnd w:id="200"/>
    </w:p>
    <w:p w:rsidR="008D4B2E" w:rsidRPr="002B59B9" w:rsidRDefault="008D4B2E" w:rsidP="00B818D2">
      <w:pPr>
        <w:pStyle w:val="a3"/>
        <w:spacing w:before="0" w:beforeAutospacing="0" w:after="0" w:afterAutospacing="0"/>
        <w:ind w:firstLine="400"/>
        <w:jc w:val="both"/>
        <w:divId w:val="2014451841"/>
        <w:rPr>
          <w:rFonts w:cs="Times New Roman"/>
          <w:sz w:val="18"/>
          <w:szCs w:val="18"/>
        </w:rPr>
      </w:pPr>
      <w:r w:rsidRPr="002B59B9">
        <w:rPr>
          <w:rFonts w:cs="Times New Roman" w:hint="eastAsia"/>
          <w:sz w:val="18"/>
          <w:szCs w:val="18"/>
        </w:rPr>
        <w:t>对于固定资产、在建工程、使用寿命有限的无形资产、以成本模式计量的投资性房地产及对子公司、合营企业、联营企业的长期股权投资等非流动非金融资产，本公司于资产负债表</w:t>
      </w:r>
      <w:proofErr w:type="gramStart"/>
      <w:r w:rsidRPr="002B59B9">
        <w:rPr>
          <w:rFonts w:cs="Times New Roman" w:hint="eastAsia"/>
          <w:sz w:val="18"/>
          <w:szCs w:val="18"/>
        </w:rPr>
        <w:t>日判断</w:t>
      </w:r>
      <w:proofErr w:type="gramEnd"/>
      <w:r w:rsidRPr="002B59B9">
        <w:rPr>
          <w:rFonts w:cs="Times New Roman" w:hint="eastAsia"/>
          <w:sz w:val="18"/>
          <w:szCs w:val="18"/>
        </w:rPr>
        <w:t>是否存在减值迹象。如存在减值迹象的，则估计其可收回金额，进行减值测试。商誉、使用寿命不确定的无形资产和尚未达到可使用状态的无形资产，无论是否存在减值迹象，每年均进行减值测试。</w:t>
      </w:r>
    </w:p>
    <w:p w:rsidR="008D4B2E" w:rsidRPr="002B59B9" w:rsidRDefault="008D4B2E" w:rsidP="00B818D2">
      <w:pPr>
        <w:pStyle w:val="a3"/>
        <w:spacing w:before="0" w:beforeAutospacing="0" w:after="0" w:afterAutospacing="0"/>
        <w:ind w:firstLine="400"/>
        <w:jc w:val="both"/>
        <w:divId w:val="2014451841"/>
        <w:rPr>
          <w:rFonts w:cs="Times New Roman"/>
          <w:sz w:val="18"/>
          <w:szCs w:val="18"/>
        </w:rPr>
      </w:pPr>
      <w:r w:rsidRPr="002B59B9">
        <w:rPr>
          <w:rFonts w:cs="Times New Roman" w:hint="eastAsia"/>
          <w:sz w:val="18"/>
          <w:szCs w:val="18"/>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8D4B2E" w:rsidRPr="002B59B9" w:rsidRDefault="008D4B2E" w:rsidP="00B818D2">
      <w:pPr>
        <w:pStyle w:val="a3"/>
        <w:spacing w:before="0" w:beforeAutospacing="0" w:after="0" w:afterAutospacing="0"/>
        <w:ind w:firstLine="400"/>
        <w:jc w:val="both"/>
        <w:divId w:val="2014451841"/>
        <w:rPr>
          <w:rFonts w:cs="Times New Roman"/>
          <w:sz w:val="18"/>
          <w:szCs w:val="18"/>
        </w:rPr>
      </w:pPr>
      <w:r w:rsidRPr="002B59B9">
        <w:rPr>
          <w:rFonts w:cs="Times New Roman" w:hint="eastAsia"/>
          <w:sz w:val="18"/>
          <w:szCs w:val="18"/>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8D4B2E" w:rsidRDefault="008D4B2E" w:rsidP="00B818D2">
      <w:pPr>
        <w:pStyle w:val="a3"/>
        <w:spacing w:before="0" w:beforeAutospacing="0" w:after="0" w:afterAutospacing="0"/>
        <w:ind w:firstLine="400"/>
        <w:jc w:val="both"/>
        <w:divId w:val="2014451841"/>
        <w:rPr>
          <w:rFonts w:ascii="Arial" w:hAnsi="Arial" w:cs="Arial"/>
          <w:sz w:val="18"/>
          <w:szCs w:val="18"/>
        </w:rPr>
      </w:pPr>
      <w:r w:rsidRPr="002B59B9">
        <w:rPr>
          <w:rFonts w:cs="Times New Roman" w:hint="eastAsia"/>
          <w:sz w:val="18"/>
          <w:szCs w:val="18"/>
        </w:rPr>
        <w:t>上述资产减值损失一经确认，以后期间不予转回价值得以恢复的部分。</w:t>
      </w:r>
    </w:p>
    <w:p w:rsidR="00BA0365" w:rsidRDefault="008D4B2E" w:rsidP="00B818D2">
      <w:pPr>
        <w:pStyle w:val="3"/>
        <w:spacing w:line="240" w:lineRule="auto"/>
        <w:jc w:val="left"/>
        <w:rPr>
          <w:rFonts w:ascii="宋体" w:hAnsi="宋体" w:cs="宋体"/>
          <w:b/>
          <w:bCs/>
        </w:rPr>
      </w:pPr>
      <w:bookmarkStart w:id="201" w:name="_Toc989089"/>
      <w:r>
        <w:rPr>
          <w:rFonts w:ascii="宋体" w:hAnsi="宋体" w:cs="宋体"/>
          <w:b/>
          <w:bCs/>
        </w:rPr>
        <w:t>28、长期待摊费用</w:t>
      </w:r>
      <w:bookmarkEnd w:id="201"/>
    </w:p>
    <w:p w:rsidR="008D4B2E" w:rsidRPr="002B59B9" w:rsidRDefault="008D4B2E" w:rsidP="00B818D2">
      <w:pPr>
        <w:pStyle w:val="a3"/>
        <w:ind w:firstLineChars="200" w:firstLine="360"/>
        <w:divId w:val="711032429"/>
        <w:rPr>
          <w:rFonts w:cs="Times New Roman"/>
          <w:sz w:val="18"/>
          <w:szCs w:val="18"/>
        </w:rPr>
      </w:pPr>
      <w:r w:rsidRPr="002B59B9">
        <w:rPr>
          <w:rFonts w:cs="Times New Roman" w:hint="eastAsia"/>
          <w:sz w:val="18"/>
          <w:szCs w:val="18"/>
        </w:rPr>
        <w:t>长期待摊费用为已经发生但应</w:t>
      </w:r>
      <w:proofErr w:type="gramStart"/>
      <w:r w:rsidRPr="002B59B9">
        <w:rPr>
          <w:rFonts w:cs="Times New Roman" w:hint="eastAsia"/>
          <w:sz w:val="18"/>
          <w:szCs w:val="18"/>
        </w:rPr>
        <w:t>由报告</w:t>
      </w:r>
      <w:proofErr w:type="gramEnd"/>
      <w:r w:rsidRPr="002B59B9">
        <w:rPr>
          <w:rFonts w:cs="Times New Roman" w:hint="eastAsia"/>
          <w:sz w:val="18"/>
          <w:szCs w:val="18"/>
        </w:rPr>
        <w:t>期和以后各期负担的分摊期限在一年以上的各项费用。长期待摊费用在预计受益期间按直线法摊销。</w:t>
      </w:r>
    </w:p>
    <w:p w:rsidR="00BA0365" w:rsidRDefault="008D4B2E" w:rsidP="00B818D2">
      <w:pPr>
        <w:pStyle w:val="3"/>
        <w:spacing w:line="240" w:lineRule="auto"/>
        <w:jc w:val="left"/>
        <w:rPr>
          <w:rFonts w:ascii="宋体" w:hAnsi="宋体" w:cs="宋体"/>
          <w:b/>
          <w:bCs/>
        </w:rPr>
      </w:pPr>
      <w:bookmarkStart w:id="202" w:name="_Toc989090"/>
      <w:r>
        <w:rPr>
          <w:rFonts w:ascii="宋体" w:hAnsi="宋体" w:cs="宋体"/>
          <w:b/>
          <w:bCs/>
        </w:rPr>
        <w:lastRenderedPageBreak/>
        <w:t>29、合同负债</w:t>
      </w:r>
      <w:bookmarkEnd w:id="202"/>
    </w:p>
    <w:p w:rsidR="008D4B2E" w:rsidRPr="002B59B9" w:rsidRDefault="008D4B2E" w:rsidP="00B818D2">
      <w:pPr>
        <w:pStyle w:val="a3"/>
        <w:spacing w:before="0" w:beforeAutospacing="0" w:after="0" w:afterAutospacing="0"/>
        <w:ind w:firstLine="400"/>
        <w:jc w:val="both"/>
        <w:divId w:val="1350451847"/>
        <w:rPr>
          <w:rFonts w:cs="Times New Roman"/>
          <w:sz w:val="18"/>
          <w:szCs w:val="18"/>
        </w:rPr>
      </w:pPr>
      <w:r w:rsidRPr="002B59B9">
        <w:rPr>
          <w:rFonts w:cs="Times New Roman" w:hint="eastAsia"/>
          <w:sz w:val="18"/>
          <w:szCs w:val="18"/>
        </w:rPr>
        <w:t>合同负债，是指本公司已收或应收客户对价而应向客户转让商品的义务。如果在本公司向客户转让商品之前，客户已经支付了合同对价或本公司已经取得了无条件收款权，本公司在客户实际支付款项和到期应支付</w:t>
      </w:r>
      <w:proofErr w:type="gramStart"/>
      <w:r w:rsidRPr="002B59B9">
        <w:rPr>
          <w:rFonts w:cs="Times New Roman" w:hint="eastAsia"/>
          <w:sz w:val="18"/>
          <w:szCs w:val="18"/>
        </w:rPr>
        <w:t>款项孰早时点</w:t>
      </w:r>
      <w:proofErr w:type="gramEnd"/>
      <w:r w:rsidRPr="002B59B9">
        <w:rPr>
          <w:rFonts w:cs="Times New Roman" w:hint="eastAsia"/>
          <w:sz w:val="18"/>
          <w:szCs w:val="18"/>
        </w:rPr>
        <w:t>，将该已收或应收款项列示为合同负债。同一合同下的合同资产和合同负债以净额列示，不同合同下的合同资产和合同负债不予</w:t>
      </w:r>
      <w:proofErr w:type="gramStart"/>
      <w:r w:rsidRPr="002B59B9">
        <w:rPr>
          <w:rFonts w:cs="Times New Roman" w:hint="eastAsia"/>
          <w:sz w:val="18"/>
          <w:szCs w:val="18"/>
        </w:rPr>
        <w:t>抵销</w:t>
      </w:r>
      <w:proofErr w:type="gramEnd"/>
      <w:r w:rsidRPr="002B59B9">
        <w:rPr>
          <w:rFonts w:cs="Times New Roman" w:hint="eastAsia"/>
          <w:sz w:val="18"/>
          <w:szCs w:val="18"/>
        </w:rPr>
        <w:t>。</w:t>
      </w:r>
    </w:p>
    <w:p w:rsidR="00BA0365" w:rsidRDefault="008D4B2E" w:rsidP="00B818D2">
      <w:pPr>
        <w:pStyle w:val="3"/>
        <w:spacing w:line="240" w:lineRule="auto"/>
        <w:jc w:val="left"/>
        <w:rPr>
          <w:rFonts w:ascii="宋体" w:hAnsi="宋体" w:cs="宋体"/>
          <w:b/>
          <w:bCs/>
        </w:rPr>
      </w:pPr>
      <w:bookmarkStart w:id="203" w:name="_Toc989091"/>
      <w:r>
        <w:rPr>
          <w:rFonts w:ascii="宋体" w:hAnsi="宋体" w:cs="宋体"/>
          <w:b/>
          <w:bCs/>
        </w:rPr>
        <w:t>30、职工薪</w:t>
      </w:r>
      <w:proofErr w:type="gramStart"/>
      <w:r>
        <w:rPr>
          <w:rFonts w:ascii="宋体" w:hAnsi="宋体" w:cs="宋体"/>
          <w:b/>
          <w:bCs/>
        </w:rPr>
        <w:t>酬</w:t>
      </w:r>
      <w:bookmarkEnd w:id="203"/>
      <w:proofErr w:type="gramEnd"/>
    </w:p>
    <w:p w:rsidR="00BA0365" w:rsidRDefault="008D4B2E" w:rsidP="00B818D2">
      <w:pPr>
        <w:keepNext/>
        <w:keepLines/>
        <w:spacing w:before="300" w:after="300"/>
        <w:outlineLvl w:val="3"/>
        <w:rPr>
          <w:rFonts w:ascii="宋体" w:eastAsia="宋体" w:hAnsi="宋体" w:cs="宋体"/>
          <w:b/>
          <w:bCs/>
          <w:szCs w:val="21"/>
        </w:rPr>
      </w:pPr>
      <w:bookmarkStart w:id="204" w:name="_Toc989092"/>
      <w:r>
        <w:rPr>
          <w:rFonts w:ascii="宋体" w:eastAsia="宋体" w:hAnsi="宋体" w:cs="宋体"/>
          <w:b/>
          <w:bCs/>
          <w:szCs w:val="21"/>
        </w:rPr>
        <w:t>（1） 短期薪酬的会计处理方法</w:t>
      </w:r>
      <w:bookmarkEnd w:id="204"/>
    </w:p>
    <w:p w:rsidR="008D4B2E" w:rsidRPr="002B59B9" w:rsidRDefault="008D4B2E" w:rsidP="00B818D2">
      <w:pPr>
        <w:pStyle w:val="a3"/>
        <w:spacing w:before="0" w:beforeAutospacing="0" w:after="0" w:afterAutospacing="0"/>
        <w:ind w:firstLine="400"/>
        <w:jc w:val="both"/>
        <w:divId w:val="1351448268"/>
        <w:rPr>
          <w:rFonts w:cs="Times New Roman"/>
          <w:sz w:val="18"/>
          <w:szCs w:val="18"/>
        </w:rPr>
      </w:pPr>
      <w:r w:rsidRPr="002B59B9">
        <w:rPr>
          <w:rFonts w:cs="Times New Roman" w:hint="eastAsia"/>
          <w:sz w:val="18"/>
          <w:szCs w:val="18"/>
        </w:rPr>
        <w:t>短期薪酬主要包括工资、奖金、津贴和补贴、职工福利费、医疗保险费、生育保险费、工伤保险费、住房公积金、工会经费和职工教育经费、非货币性福利等。本公司在职工为本公司提供服务的会计期间将实际发生的短期职工薪</w:t>
      </w:r>
      <w:proofErr w:type="gramStart"/>
      <w:r w:rsidRPr="002B59B9">
        <w:rPr>
          <w:rFonts w:cs="Times New Roman" w:hint="eastAsia"/>
          <w:sz w:val="18"/>
          <w:szCs w:val="18"/>
        </w:rPr>
        <w:t>酬</w:t>
      </w:r>
      <w:proofErr w:type="gramEnd"/>
      <w:r w:rsidRPr="002B59B9">
        <w:rPr>
          <w:rFonts w:cs="Times New Roman" w:hint="eastAsia"/>
          <w:sz w:val="18"/>
          <w:szCs w:val="18"/>
        </w:rPr>
        <w:t>确认为负债，并计入当期损益或相关资产成本。其中非货币性福利按公允价值计量。</w:t>
      </w:r>
    </w:p>
    <w:p w:rsidR="00BA0365" w:rsidRDefault="008D4B2E" w:rsidP="00B818D2">
      <w:pPr>
        <w:keepNext/>
        <w:keepLines/>
        <w:spacing w:before="300" w:after="300"/>
        <w:outlineLvl w:val="3"/>
        <w:rPr>
          <w:rFonts w:ascii="宋体" w:eastAsia="宋体" w:hAnsi="宋体" w:cs="宋体"/>
          <w:b/>
          <w:bCs/>
          <w:szCs w:val="21"/>
        </w:rPr>
      </w:pPr>
      <w:bookmarkStart w:id="205" w:name="_Toc989093"/>
      <w:r>
        <w:rPr>
          <w:rFonts w:ascii="宋体" w:eastAsia="宋体" w:hAnsi="宋体" w:cs="宋体"/>
          <w:b/>
          <w:bCs/>
          <w:szCs w:val="21"/>
        </w:rPr>
        <w:t>（2） 离职后福利的会计处理方法</w:t>
      </w:r>
      <w:bookmarkEnd w:id="205"/>
    </w:p>
    <w:p w:rsidR="008D4B2E" w:rsidRPr="002B59B9" w:rsidRDefault="008D4B2E" w:rsidP="00B818D2">
      <w:pPr>
        <w:pStyle w:val="a3"/>
        <w:spacing w:before="0" w:beforeAutospacing="0" w:after="0" w:afterAutospacing="0"/>
        <w:ind w:firstLine="400"/>
        <w:jc w:val="both"/>
        <w:divId w:val="755595667"/>
        <w:rPr>
          <w:rFonts w:cs="Times New Roman"/>
          <w:sz w:val="18"/>
          <w:szCs w:val="18"/>
        </w:rPr>
      </w:pPr>
      <w:r w:rsidRPr="002B59B9">
        <w:rPr>
          <w:rFonts w:cs="Times New Roman" w:hint="eastAsia"/>
          <w:sz w:val="18"/>
          <w:szCs w:val="18"/>
        </w:rPr>
        <w:t>离职后福利主要包括基本养老保险、失业保险以及年金等。离职后福利计划为设定提存计划。采用设定提存计划的，相应的应缴存金额于发生时计入相关资产成本或当期损益。</w:t>
      </w:r>
    </w:p>
    <w:p w:rsidR="00BA0365" w:rsidRDefault="008D4B2E" w:rsidP="00B818D2">
      <w:pPr>
        <w:keepNext/>
        <w:keepLines/>
        <w:spacing w:before="300" w:after="300"/>
        <w:outlineLvl w:val="3"/>
        <w:rPr>
          <w:rFonts w:ascii="宋体" w:eastAsia="宋体" w:hAnsi="宋体" w:cs="宋体"/>
          <w:b/>
          <w:bCs/>
          <w:szCs w:val="21"/>
        </w:rPr>
      </w:pPr>
      <w:bookmarkStart w:id="206" w:name="_Toc989094"/>
      <w:r>
        <w:rPr>
          <w:rFonts w:ascii="宋体" w:eastAsia="宋体" w:hAnsi="宋体" w:cs="宋体"/>
          <w:b/>
          <w:bCs/>
          <w:szCs w:val="21"/>
        </w:rPr>
        <w:t>（3） 辞退福利的会计处理方法</w:t>
      </w:r>
      <w:bookmarkEnd w:id="206"/>
    </w:p>
    <w:p w:rsidR="008D4B2E" w:rsidRPr="007E0ED4" w:rsidRDefault="008D4B2E" w:rsidP="00B818D2">
      <w:pPr>
        <w:pStyle w:val="a3"/>
        <w:spacing w:before="0" w:beforeAutospacing="0" w:after="0" w:afterAutospacing="0"/>
        <w:ind w:firstLine="400"/>
        <w:jc w:val="both"/>
        <w:divId w:val="821697364"/>
        <w:rPr>
          <w:rFonts w:cs="Times New Roman"/>
          <w:sz w:val="18"/>
          <w:szCs w:val="18"/>
        </w:rPr>
      </w:pPr>
      <w:r w:rsidRPr="002B59B9">
        <w:rPr>
          <w:rFonts w:cs="Times New Roman" w:hint="eastAsia"/>
          <w:sz w:val="18"/>
          <w:szCs w:val="18"/>
        </w:rPr>
        <w:t>在职工劳动合同到期之前解除与职工的劳动关系，或为鼓励职工自愿接受裁减而提出给予补偿的建议，在本公司不能单方面撤回因解除劳动关系计划或裁减建议所提供的辞退福利时，和本公司确认与涉及支付辞退福利的重组相关的成本两者</w:t>
      </w:r>
      <w:proofErr w:type="gramStart"/>
      <w:r w:rsidRPr="002B59B9">
        <w:rPr>
          <w:rFonts w:cs="Times New Roman" w:hint="eastAsia"/>
          <w:sz w:val="18"/>
          <w:szCs w:val="18"/>
        </w:rPr>
        <w:t>孰</w:t>
      </w:r>
      <w:proofErr w:type="gramEnd"/>
      <w:r w:rsidRPr="002B59B9">
        <w:rPr>
          <w:rFonts w:cs="Times New Roman" w:hint="eastAsia"/>
          <w:sz w:val="18"/>
          <w:szCs w:val="18"/>
        </w:rPr>
        <w:t>早日，确认辞退福利产生的职工薪</w:t>
      </w:r>
      <w:proofErr w:type="gramStart"/>
      <w:r w:rsidRPr="002B59B9">
        <w:rPr>
          <w:rFonts w:cs="Times New Roman" w:hint="eastAsia"/>
          <w:sz w:val="18"/>
          <w:szCs w:val="18"/>
        </w:rPr>
        <w:t>酬</w:t>
      </w:r>
      <w:proofErr w:type="gramEnd"/>
      <w:r w:rsidRPr="002B59B9">
        <w:rPr>
          <w:rFonts w:cs="Times New Roman" w:hint="eastAsia"/>
          <w:sz w:val="18"/>
          <w:szCs w:val="18"/>
        </w:rPr>
        <w:t>负债，并计入当期损益。但辞退福利预期在年度报告期结束后十二个月不能完全支付的，按照其他长期职工薪</w:t>
      </w:r>
      <w:proofErr w:type="gramStart"/>
      <w:r w:rsidRPr="002B59B9">
        <w:rPr>
          <w:rFonts w:cs="Times New Roman" w:hint="eastAsia"/>
          <w:sz w:val="18"/>
          <w:szCs w:val="18"/>
        </w:rPr>
        <w:t>酬</w:t>
      </w:r>
      <w:proofErr w:type="gramEnd"/>
      <w:r w:rsidRPr="002B59B9">
        <w:rPr>
          <w:rFonts w:cs="Times New Roman" w:hint="eastAsia"/>
          <w:sz w:val="18"/>
          <w:szCs w:val="18"/>
        </w:rPr>
        <w:t>处理。</w:t>
      </w:r>
    </w:p>
    <w:p w:rsidR="00BA0365" w:rsidRDefault="008D4B2E" w:rsidP="00B818D2">
      <w:pPr>
        <w:keepNext/>
        <w:keepLines/>
        <w:spacing w:before="300" w:after="300"/>
        <w:outlineLvl w:val="3"/>
        <w:rPr>
          <w:rFonts w:ascii="宋体" w:eastAsia="宋体" w:hAnsi="宋体" w:cs="宋体"/>
          <w:b/>
          <w:bCs/>
          <w:szCs w:val="21"/>
        </w:rPr>
      </w:pPr>
      <w:bookmarkStart w:id="207" w:name="_Toc989095"/>
      <w:r>
        <w:rPr>
          <w:rFonts w:ascii="宋体" w:eastAsia="宋体" w:hAnsi="宋体" w:cs="宋体"/>
          <w:b/>
          <w:bCs/>
          <w:szCs w:val="21"/>
        </w:rPr>
        <w:t>（4） 其他长期职工福利的会计处理方法</w:t>
      </w:r>
      <w:bookmarkEnd w:id="207"/>
    </w:p>
    <w:p w:rsidR="008D4B2E" w:rsidRPr="002B59B9" w:rsidRDefault="008D4B2E" w:rsidP="00B818D2">
      <w:pPr>
        <w:pStyle w:val="a3"/>
        <w:spacing w:before="0" w:beforeAutospacing="0" w:after="0" w:afterAutospacing="0"/>
        <w:ind w:firstLine="400"/>
        <w:jc w:val="both"/>
        <w:divId w:val="1796370540"/>
        <w:rPr>
          <w:rFonts w:cs="Times New Roman"/>
          <w:sz w:val="18"/>
          <w:szCs w:val="18"/>
        </w:rPr>
      </w:pPr>
      <w:r w:rsidRPr="002B59B9">
        <w:rPr>
          <w:rFonts w:cs="Times New Roman" w:hint="eastAsia"/>
          <w:sz w:val="18"/>
          <w:szCs w:val="18"/>
        </w:rPr>
        <w:t>职工内部退休计划采用与上述辞退福利相同的原则处理。本公司将</w:t>
      </w:r>
      <w:proofErr w:type="gramStart"/>
      <w:r w:rsidRPr="002B59B9">
        <w:rPr>
          <w:rFonts w:cs="Times New Roman" w:hint="eastAsia"/>
          <w:sz w:val="18"/>
          <w:szCs w:val="18"/>
        </w:rPr>
        <w:t>自职工</w:t>
      </w:r>
      <w:proofErr w:type="gramEnd"/>
      <w:r w:rsidRPr="002B59B9">
        <w:rPr>
          <w:rFonts w:cs="Times New Roman" w:hint="eastAsia"/>
          <w:sz w:val="18"/>
          <w:szCs w:val="18"/>
        </w:rPr>
        <w:t>停止提供服务日至正常退休日的期间</w:t>
      </w:r>
      <w:proofErr w:type="gramStart"/>
      <w:r w:rsidRPr="002B59B9">
        <w:rPr>
          <w:rFonts w:cs="Times New Roman" w:hint="eastAsia"/>
          <w:sz w:val="18"/>
          <w:szCs w:val="18"/>
        </w:rPr>
        <w:t>拟支付</w:t>
      </w:r>
      <w:proofErr w:type="gramEnd"/>
      <w:r w:rsidRPr="002B59B9">
        <w:rPr>
          <w:rFonts w:cs="Times New Roman" w:hint="eastAsia"/>
          <w:sz w:val="18"/>
          <w:szCs w:val="18"/>
        </w:rPr>
        <w:t>的内退人员工资和缴纳的社会保险费等，在符合预计负债确认条件时，计入当期损益（辞退福利）。</w:t>
      </w:r>
    </w:p>
    <w:p w:rsidR="008D4B2E" w:rsidRPr="002B59B9" w:rsidRDefault="008D4B2E" w:rsidP="00B818D2">
      <w:pPr>
        <w:pStyle w:val="a3"/>
        <w:spacing w:before="0" w:beforeAutospacing="0" w:after="0" w:afterAutospacing="0"/>
        <w:ind w:firstLine="400"/>
        <w:jc w:val="both"/>
        <w:divId w:val="1796370540"/>
        <w:rPr>
          <w:rFonts w:cs="Times New Roman"/>
          <w:sz w:val="18"/>
          <w:szCs w:val="18"/>
        </w:rPr>
      </w:pPr>
      <w:r w:rsidRPr="002B59B9">
        <w:rPr>
          <w:rFonts w:cs="Times New Roman" w:hint="eastAsia"/>
          <w:sz w:val="18"/>
          <w:szCs w:val="18"/>
        </w:rPr>
        <w:t>本公司向职工提供的其他长期职工福利，符合设定提存计划的，按照设定提存计划进行会计处理，除此之外按照设定受益计划进行会计处理。</w:t>
      </w:r>
    </w:p>
    <w:p w:rsidR="00BA0365" w:rsidRDefault="008D4B2E" w:rsidP="00B818D2">
      <w:pPr>
        <w:pStyle w:val="3"/>
        <w:spacing w:line="240" w:lineRule="auto"/>
        <w:jc w:val="left"/>
        <w:rPr>
          <w:rFonts w:ascii="宋体" w:hAnsi="宋体" w:cs="宋体"/>
          <w:b/>
          <w:bCs/>
        </w:rPr>
      </w:pPr>
      <w:bookmarkStart w:id="208" w:name="_Toc989096"/>
      <w:r>
        <w:rPr>
          <w:rFonts w:ascii="宋体" w:hAnsi="宋体" w:cs="宋体"/>
          <w:b/>
          <w:bCs/>
        </w:rPr>
        <w:t>31、预计负债</w:t>
      </w:r>
      <w:bookmarkEnd w:id="208"/>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t>当与或有事项相关的义务同时符合以下条件，确认为预计负债：（</w:t>
      </w:r>
      <w:r w:rsidRPr="002B59B9">
        <w:rPr>
          <w:rFonts w:cs="Times New Roman"/>
          <w:sz w:val="18"/>
          <w:szCs w:val="18"/>
        </w:rPr>
        <w:t>1</w:t>
      </w:r>
      <w:r w:rsidRPr="002B59B9">
        <w:rPr>
          <w:rFonts w:cs="Times New Roman" w:hint="eastAsia"/>
          <w:sz w:val="18"/>
          <w:szCs w:val="18"/>
        </w:rPr>
        <w:t>）该义务是本公司承担的现时义务；（</w:t>
      </w:r>
      <w:r w:rsidRPr="002B59B9">
        <w:rPr>
          <w:rFonts w:cs="Times New Roman"/>
          <w:sz w:val="18"/>
          <w:szCs w:val="18"/>
        </w:rPr>
        <w:t>2</w:t>
      </w:r>
      <w:r w:rsidRPr="002B59B9">
        <w:rPr>
          <w:rFonts w:cs="Times New Roman" w:hint="eastAsia"/>
          <w:sz w:val="18"/>
          <w:szCs w:val="18"/>
        </w:rPr>
        <w:t>）履行该义务很可能导致经济利益流出；（</w:t>
      </w:r>
      <w:r w:rsidRPr="002B59B9">
        <w:rPr>
          <w:rFonts w:cs="Times New Roman"/>
          <w:sz w:val="18"/>
          <w:szCs w:val="18"/>
        </w:rPr>
        <w:t>3</w:t>
      </w:r>
      <w:r w:rsidRPr="002B59B9">
        <w:rPr>
          <w:rFonts w:cs="Times New Roman" w:hint="eastAsia"/>
          <w:sz w:val="18"/>
          <w:szCs w:val="18"/>
        </w:rPr>
        <w:t>）该义务的金额能够可靠地计量。</w:t>
      </w:r>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t>在资产负债表日，考虑与或有事项有关的风险、不确定性和货币时间价值等因素，按照履行相关现时义务所需支出的最佳估计数对预计负债进行计量。</w:t>
      </w:r>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t>如果清偿预计负债所需支出全部或部分预期由第三方补偿的，补偿金额在基本确定能够收到时，作为资产单独确认，且确认的补偿金额不超过预计负债的账面价值。</w:t>
      </w:r>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）亏损合同</w:t>
      </w:r>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t>亏损合同是履行合同义务不可避免会发生的成本超过预期经济利益的合同。待执行合同变成亏损合同，且</w:t>
      </w:r>
      <w:proofErr w:type="gramStart"/>
      <w:r w:rsidRPr="002B59B9">
        <w:rPr>
          <w:rFonts w:cs="Times New Roman" w:hint="eastAsia"/>
          <w:sz w:val="18"/>
          <w:szCs w:val="18"/>
        </w:rPr>
        <w:t>该亏损</w:t>
      </w:r>
      <w:proofErr w:type="gramEnd"/>
      <w:r w:rsidRPr="002B59B9">
        <w:rPr>
          <w:rFonts w:cs="Times New Roman" w:hint="eastAsia"/>
          <w:sz w:val="18"/>
          <w:szCs w:val="18"/>
        </w:rPr>
        <w:t>合同产生的义务满足上述预计负债的确认条件的，将合同预计损失超过合同标的资产已确认的减值损失（如有）的部分，确认为预计负债。</w:t>
      </w:r>
    </w:p>
    <w:p w:rsidR="008D4B2E" w:rsidRPr="002B59B9" w:rsidRDefault="008D4B2E" w:rsidP="00B818D2">
      <w:pPr>
        <w:pStyle w:val="a3"/>
        <w:spacing w:before="0" w:beforeAutospacing="0" w:after="0" w:afterAutospacing="0"/>
        <w:ind w:firstLine="400"/>
        <w:divId w:val="443574584"/>
        <w:rPr>
          <w:rFonts w:cs="Times New Roman"/>
          <w:sz w:val="18"/>
          <w:szCs w:val="18"/>
        </w:rPr>
      </w:pPr>
      <w:r w:rsidRPr="002B59B9">
        <w:rPr>
          <w:rFonts w:cs="Times New Roman" w:hint="eastAsia"/>
          <w:sz w:val="18"/>
          <w:szCs w:val="18"/>
        </w:rPr>
        <w:lastRenderedPageBreak/>
        <w:t>（</w:t>
      </w:r>
      <w:r w:rsidRPr="002B59B9">
        <w:rPr>
          <w:rFonts w:cs="Times New Roman"/>
          <w:sz w:val="18"/>
          <w:szCs w:val="18"/>
        </w:rPr>
        <w:t>2</w:t>
      </w:r>
      <w:r w:rsidRPr="002B59B9">
        <w:rPr>
          <w:rFonts w:cs="Times New Roman" w:hint="eastAsia"/>
          <w:sz w:val="18"/>
          <w:szCs w:val="18"/>
        </w:rPr>
        <w:t>）重组义务</w:t>
      </w:r>
    </w:p>
    <w:p w:rsidR="008D4B2E" w:rsidRDefault="008D4B2E" w:rsidP="00B818D2">
      <w:pPr>
        <w:pStyle w:val="a3"/>
        <w:spacing w:before="0" w:beforeAutospacing="0" w:after="0" w:afterAutospacing="0"/>
        <w:jc w:val="both"/>
        <w:divId w:val="443574584"/>
        <w:rPr>
          <w:rFonts w:ascii="Arial" w:hAnsi="Arial" w:cs="Arial"/>
          <w:sz w:val="18"/>
          <w:szCs w:val="18"/>
        </w:rPr>
      </w:pPr>
      <w:r w:rsidRPr="002B59B9">
        <w:rPr>
          <w:rFonts w:cs="Times New Roman" w:hint="eastAsia"/>
          <w:sz w:val="18"/>
          <w:szCs w:val="18"/>
        </w:rPr>
        <w:t>对于有详细、正式并且已经对外公告的重组计划，在满足前述预计负债的确认条件的情况下，按照与重组有关的直接支出确定预计负债金额。对于出售部分业务的重组义务，只有在本公司承诺出售部分业务（即签订了约束性出售协议时），才确认与重组相关的义务。</w:t>
      </w:r>
    </w:p>
    <w:p w:rsidR="00BA0365" w:rsidRDefault="008D4B2E" w:rsidP="00B818D2">
      <w:pPr>
        <w:pStyle w:val="3"/>
        <w:spacing w:line="240" w:lineRule="auto"/>
        <w:jc w:val="left"/>
        <w:rPr>
          <w:rFonts w:ascii="宋体" w:hAnsi="宋体" w:cs="宋体"/>
          <w:b/>
          <w:bCs/>
        </w:rPr>
      </w:pPr>
      <w:bookmarkStart w:id="209" w:name="_Toc989097"/>
      <w:r>
        <w:rPr>
          <w:rFonts w:ascii="宋体" w:hAnsi="宋体" w:cs="宋体"/>
          <w:b/>
          <w:bCs/>
        </w:rPr>
        <w:t>32、股份支付</w:t>
      </w:r>
      <w:bookmarkEnd w:id="209"/>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）股份支付的会计处理方法</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股份支付是为了获取职工或其他方提供服务而授予权益工具或者承担以权益工具为基础确定的负债的交易。股份支付分为以权益结算的股份支付和以现金结算的股份支付。</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①</w:t>
      </w:r>
      <w:r w:rsidRPr="002B59B9">
        <w:rPr>
          <w:rFonts w:cs="Times New Roman"/>
          <w:sz w:val="18"/>
          <w:szCs w:val="18"/>
        </w:rPr>
        <w:t> </w:t>
      </w:r>
      <w:r w:rsidRPr="002B59B9">
        <w:rPr>
          <w:rFonts w:cs="Times New Roman" w:hint="eastAsia"/>
          <w:sz w:val="18"/>
          <w:szCs w:val="18"/>
        </w:rPr>
        <w:t>以权益结算的股份支付</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用以换取职工提供的服务的权益结算的股份支付，以授予职工权益工具在授予日的公允价值计量。该公允价值的金额在完成等待期内的服务或达到规定业绩条件才可行权的情况下，在等待期内以对可行权权益工具数量的最佳估计为基础，按直线法计算计入相关成本或费用，相应增加资本公积。</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在等待期内每个资产负债表日，本公司根据最新取得的可行</w:t>
      </w:r>
      <w:proofErr w:type="gramStart"/>
      <w:r w:rsidRPr="002B59B9">
        <w:rPr>
          <w:rFonts w:cs="Times New Roman" w:hint="eastAsia"/>
          <w:sz w:val="18"/>
          <w:szCs w:val="18"/>
        </w:rPr>
        <w:t>权职工</w:t>
      </w:r>
      <w:proofErr w:type="gramEnd"/>
      <w:r w:rsidRPr="002B59B9">
        <w:rPr>
          <w:rFonts w:cs="Times New Roman" w:hint="eastAsia"/>
          <w:sz w:val="18"/>
          <w:szCs w:val="18"/>
        </w:rPr>
        <w:t>人数变动等后续信息做出最佳估计，修正预计可行权的权益工具数量。上述估计的影响计入当期相关成本或费用，并相应调整资本公积。</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用以换取其他方服务的权益结算的股份支付，如果其他方服务的公允价值能够可靠计量，按照其他方服务在取得日的公允价值计量，如果其他方服务的公允价值不能可靠计量，但权益工具的公允价值能够可靠计量的，按照权益工具在服务取得日的公允价值计量，计入相关成本或费用，相应增加股东权益。</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②</w:t>
      </w:r>
      <w:r w:rsidRPr="002B59B9">
        <w:rPr>
          <w:rFonts w:cs="Times New Roman"/>
          <w:sz w:val="18"/>
          <w:szCs w:val="18"/>
        </w:rPr>
        <w:t> </w:t>
      </w:r>
      <w:r w:rsidRPr="002B59B9">
        <w:rPr>
          <w:rFonts w:cs="Times New Roman" w:hint="eastAsia"/>
          <w:sz w:val="18"/>
          <w:szCs w:val="18"/>
        </w:rPr>
        <w:t>以现金结算的股份支付</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以现金结算的股份支付，按照本公司承担的以股份或其他权益工具为基础确定的负债的公允价值计量。如授予后立即可行权，在授予日计入相关成本或费用，相应增加负债；如须完成等待期内的服务或达到规定业绩条件以后才可行权，在等待期的每个资产负债表日，以对可行</w:t>
      </w:r>
      <w:proofErr w:type="gramStart"/>
      <w:r w:rsidRPr="002B59B9">
        <w:rPr>
          <w:rFonts w:cs="Times New Roman" w:hint="eastAsia"/>
          <w:sz w:val="18"/>
          <w:szCs w:val="18"/>
        </w:rPr>
        <w:t>权情况</w:t>
      </w:r>
      <w:proofErr w:type="gramEnd"/>
      <w:r w:rsidRPr="002B59B9">
        <w:rPr>
          <w:rFonts w:cs="Times New Roman" w:hint="eastAsia"/>
          <w:sz w:val="18"/>
          <w:szCs w:val="18"/>
        </w:rPr>
        <w:t>的最佳估计为基础，按照本公司承担负债的公允价值金额，将当期取得的服务计入成本或费用，相应增加负债。</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在相关负债结算前的每个资产负债表日以及结算日，对负债的公允价值重新计量，其变动计入当期损益。</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）修改、终止股份支付计划的相关会计处理</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本公司对股份支付计划进行修改时，若修改增加了所授予权益工具的公允价值，按照权益工具公允价值的增加相应确认取得服务的增加。权益工具公允价值的增加是指修改前后的权益工具在修改日的公允价值之间的差额。若修改减少了股份支付公允价值总额或采用了其他不利于职工的方式，则仍继续对取得的服务进行会计处理，视同该变更从未发生，除非本公司取消了部分或全部已授予的权益工具。</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在等待期内，如果取消了授予的权益工具，本公司对取消所授予的权益性工具作为加速行权处理，将剩余等待期内应确认的金额立即计入当期损益，同时确认资本公积。职工或其他方能够选择满足非可行</w:t>
      </w:r>
      <w:proofErr w:type="gramStart"/>
      <w:r w:rsidRPr="002B59B9">
        <w:rPr>
          <w:rFonts w:cs="Times New Roman" w:hint="eastAsia"/>
          <w:sz w:val="18"/>
          <w:szCs w:val="18"/>
        </w:rPr>
        <w:t>权条件</w:t>
      </w:r>
      <w:proofErr w:type="gramEnd"/>
      <w:r w:rsidRPr="002B59B9">
        <w:rPr>
          <w:rFonts w:cs="Times New Roman" w:hint="eastAsia"/>
          <w:sz w:val="18"/>
          <w:szCs w:val="18"/>
        </w:rPr>
        <w:t>但在等待期内未满足的，本公司将其作为授予权益工具的取消处理。</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）涉及本公司与本公司股东或实际控制人的股份支付交易的会计处理</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涉及本公司与本公司股东或实际控制人的股份支付交易，结算企业与接受服务企业中其一在本公司合并范围内，另一在本公司合并范围外的，在本公司合并财务报表中按照以下规定进行会计处理：</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①</w:t>
      </w:r>
      <w:r w:rsidRPr="002B59B9">
        <w:rPr>
          <w:rFonts w:cs="Times New Roman"/>
          <w:sz w:val="18"/>
          <w:szCs w:val="18"/>
        </w:rPr>
        <w:t> </w:t>
      </w:r>
      <w:r w:rsidRPr="002B59B9">
        <w:rPr>
          <w:rFonts w:cs="Times New Roman" w:hint="eastAsia"/>
          <w:sz w:val="18"/>
          <w:szCs w:val="18"/>
        </w:rPr>
        <w:t>结算企业以其本身权益工具结算的，将该股份支付交易作为权益结算的股份支付处理；除此之外，作为现金结算的股份支付处理。</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结算企业是接受服务企业的投资者的，按照授予日权益工具的公允价值或应承担负债的公允价值确认为对接受服务企业的长期股权投资，同时确认资本公积（其他资本公积）或负债。</w:t>
      </w:r>
    </w:p>
    <w:p w:rsidR="008D4B2E" w:rsidRPr="002B59B9" w:rsidRDefault="008D4B2E" w:rsidP="00B818D2">
      <w:pPr>
        <w:pStyle w:val="a3"/>
        <w:spacing w:before="0" w:beforeAutospacing="0" w:after="0" w:afterAutospacing="0"/>
        <w:ind w:firstLine="400"/>
        <w:divId w:val="1137796839"/>
        <w:rPr>
          <w:rFonts w:cs="Times New Roman"/>
          <w:sz w:val="18"/>
          <w:szCs w:val="18"/>
        </w:rPr>
      </w:pPr>
      <w:r w:rsidRPr="002B59B9">
        <w:rPr>
          <w:rFonts w:cs="Times New Roman" w:hint="eastAsia"/>
          <w:sz w:val="18"/>
          <w:szCs w:val="18"/>
        </w:rPr>
        <w:t>②</w:t>
      </w:r>
      <w:r w:rsidRPr="002B59B9">
        <w:rPr>
          <w:rFonts w:cs="Times New Roman"/>
          <w:sz w:val="18"/>
          <w:szCs w:val="18"/>
        </w:rPr>
        <w:t> </w:t>
      </w:r>
      <w:r w:rsidRPr="002B59B9">
        <w:rPr>
          <w:rFonts w:cs="Times New Roman" w:hint="eastAsia"/>
          <w:sz w:val="18"/>
          <w:szCs w:val="18"/>
        </w:rPr>
        <w:t>接受服务企业没有结算义务或授予本企业职工的是其本身权益工具的，将该股份支付交易作为权益结算的股份支付处理；接受服务企业具有结算义务且授予本企业职工的并非其本身权益工具的，将该股份支付交易作为现金结算的股份支付处理。</w:t>
      </w:r>
    </w:p>
    <w:p w:rsidR="008D4B2E" w:rsidRPr="002B59B9" w:rsidRDefault="008D4B2E" w:rsidP="00B818D2">
      <w:pPr>
        <w:pStyle w:val="a3"/>
        <w:spacing w:before="0" w:beforeAutospacing="0" w:after="0" w:afterAutospacing="0"/>
        <w:jc w:val="both"/>
        <w:divId w:val="1137796839"/>
        <w:rPr>
          <w:rFonts w:cs="Times New Roman"/>
          <w:sz w:val="18"/>
          <w:szCs w:val="18"/>
        </w:rPr>
      </w:pPr>
      <w:r w:rsidRPr="002B59B9">
        <w:rPr>
          <w:rFonts w:cs="Times New Roman" w:hint="eastAsia"/>
          <w:sz w:val="18"/>
          <w:szCs w:val="18"/>
        </w:rPr>
        <w:lastRenderedPageBreak/>
        <w:t>本公司合并范围内各企业之间发生的股份支付交易，接受服务企业和结算企业不是同一企业的，在接受服务企业和结算企业各自的个别财务报表中对该股份支付交易的确认和计量，比照上述原则处理。</w:t>
      </w:r>
    </w:p>
    <w:p w:rsidR="00BA0365" w:rsidRDefault="008D4B2E" w:rsidP="00B818D2">
      <w:pPr>
        <w:pStyle w:val="3"/>
        <w:spacing w:line="240" w:lineRule="auto"/>
        <w:jc w:val="left"/>
        <w:rPr>
          <w:rFonts w:ascii="宋体" w:hAnsi="宋体" w:cs="宋体"/>
          <w:b/>
          <w:bCs/>
        </w:rPr>
      </w:pPr>
      <w:bookmarkStart w:id="210" w:name="_Toc989098"/>
      <w:r>
        <w:rPr>
          <w:rFonts w:ascii="宋体" w:hAnsi="宋体" w:cs="宋体"/>
          <w:b/>
          <w:bCs/>
        </w:rPr>
        <w:t>33、优先股、永续债等其他金融工具</w:t>
      </w:r>
      <w:bookmarkEnd w:id="210"/>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）永续债和优先股等的区分</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本公司发行的永续债和优先股等金融工具，同时符合以下条件的，作为权益工具：</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①该金融工具不包括交付现金或其他金融资产给其他方，或在潜在不利条件下与其他方交换金融资产或金融负债的合同义务；</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②如将来须用或可用企业自身权益工具结算该金融工具的，如该金融工具为非衍生工具，则不包括交付可变数量的自身权益工具进行结算的合同义务；如为衍生工具，则本公司只能通过以固定数量的自身权益工具交换固定金额的现金或其他金融资产结算该金融工具。</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除按上述条件可归类为权益工具的金融工具以外，本公司发行的其他金融工具应归类为金融负债。</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本公司发行的金融工具为复合金融工具的，按照负债成分的公允价值确认为一项负债，按实际收到的金额扣除负债成分的公允价值后的金额，确认为</w:t>
      </w:r>
      <w:r w:rsidRPr="002B59B9">
        <w:rPr>
          <w:rFonts w:cs="Times New Roman"/>
          <w:sz w:val="18"/>
          <w:szCs w:val="18"/>
        </w:rPr>
        <w:t>“</w:t>
      </w:r>
      <w:r w:rsidRPr="002B59B9">
        <w:rPr>
          <w:rFonts w:cs="Times New Roman" w:hint="eastAsia"/>
          <w:sz w:val="18"/>
          <w:szCs w:val="18"/>
        </w:rPr>
        <w:t>其他权益工具</w:t>
      </w:r>
      <w:r w:rsidRPr="002B59B9">
        <w:rPr>
          <w:rFonts w:cs="Times New Roman"/>
          <w:sz w:val="18"/>
          <w:szCs w:val="18"/>
        </w:rPr>
        <w:t>”</w:t>
      </w:r>
      <w:r w:rsidRPr="002B59B9">
        <w:rPr>
          <w:rFonts w:cs="Times New Roman" w:hint="eastAsia"/>
          <w:sz w:val="18"/>
          <w:szCs w:val="18"/>
        </w:rPr>
        <w:t>。发行复合金融工具发生的交易费用，在负债成分和权益成分之间按照各自占总发行价款的比例进行分摊。</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）永续债和优先股等的会计处理方法</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归类为金融负债的永续债和优先股等金融工具，其相关利息、股利（或股息）、利得或损失，以及赎回或再融资产生的利得或损失等，除符合资本化条件的借款费用（参见本附注四、</w:t>
      </w:r>
      <w:r w:rsidRPr="002B59B9">
        <w:rPr>
          <w:rFonts w:cs="Times New Roman"/>
          <w:sz w:val="18"/>
          <w:szCs w:val="18"/>
        </w:rPr>
        <w:t>“</w:t>
      </w:r>
      <w:r w:rsidRPr="002B59B9">
        <w:rPr>
          <w:rFonts w:cs="Times New Roman" w:hint="eastAsia"/>
          <w:sz w:val="18"/>
          <w:szCs w:val="18"/>
        </w:rPr>
        <w:t>借款费用</w:t>
      </w:r>
      <w:r w:rsidRPr="002B59B9">
        <w:rPr>
          <w:rFonts w:cs="Times New Roman"/>
          <w:sz w:val="18"/>
          <w:szCs w:val="18"/>
        </w:rPr>
        <w:t>”</w:t>
      </w:r>
      <w:r w:rsidRPr="002B59B9">
        <w:rPr>
          <w:rFonts w:cs="Times New Roman" w:hint="eastAsia"/>
          <w:sz w:val="18"/>
          <w:szCs w:val="18"/>
        </w:rPr>
        <w:t>）以外，均计入当期损益。</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归类为权益工具的永续债和优先股等金融工具，其发行（</w:t>
      </w:r>
      <w:proofErr w:type="gramStart"/>
      <w:r w:rsidRPr="002B59B9">
        <w:rPr>
          <w:rFonts w:cs="Times New Roman" w:hint="eastAsia"/>
          <w:sz w:val="18"/>
          <w:szCs w:val="18"/>
        </w:rPr>
        <w:t>含再融资</w:t>
      </w:r>
      <w:proofErr w:type="gramEnd"/>
      <w:r w:rsidRPr="002B59B9">
        <w:rPr>
          <w:rFonts w:cs="Times New Roman" w:hint="eastAsia"/>
          <w:sz w:val="18"/>
          <w:szCs w:val="18"/>
        </w:rPr>
        <w:t>）、回购、出售或注销时，本公司作为权益的变动处理，相关交易费用亦从权益中扣减。本公司对权益工具持有方的分配作为利润分配处理。</w:t>
      </w:r>
    </w:p>
    <w:p w:rsidR="008D4B2E" w:rsidRPr="002B59B9" w:rsidRDefault="008D4B2E" w:rsidP="00B818D2">
      <w:pPr>
        <w:pStyle w:val="a3"/>
        <w:spacing w:before="0" w:beforeAutospacing="0" w:after="0" w:afterAutospacing="0"/>
        <w:ind w:firstLine="400"/>
        <w:divId w:val="1197162892"/>
        <w:rPr>
          <w:rFonts w:cs="Times New Roman"/>
          <w:sz w:val="18"/>
          <w:szCs w:val="18"/>
        </w:rPr>
      </w:pPr>
      <w:r w:rsidRPr="002B59B9">
        <w:rPr>
          <w:rFonts w:cs="Times New Roman" w:hint="eastAsia"/>
          <w:sz w:val="18"/>
          <w:szCs w:val="18"/>
        </w:rPr>
        <w:t>本公司不确认权益工具的公允价值变动。</w:t>
      </w:r>
    </w:p>
    <w:p w:rsidR="00BA0365" w:rsidRDefault="008D4B2E" w:rsidP="00B818D2">
      <w:pPr>
        <w:pStyle w:val="3"/>
        <w:spacing w:line="240" w:lineRule="auto"/>
        <w:jc w:val="left"/>
        <w:rPr>
          <w:rFonts w:ascii="宋体" w:hAnsi="宋体" w:cs="宋体"/>
          <w:b/>
          <w:bCs/>
        </w:rPr>
      </w:pPr>
      <w:bookmarkStart w:id="211" w:name="_Toc989099"/>
      <w:r>
        <w:rPr>
          <w:rFonts w:ascii="宋体" w:hAnsi="宋体" w:cs="宋体"/>
          <w:b/>
          <w:bCs/>
        </w:rPr>
        <w:t>34、收入</w:t>
      </w:r>
      <w:bookmarkEnd w:id="211"/>
    </w:p>
    <w:p w:rsidR="00BA0365" w:rsidRPr="002B59B9" w:rsidRDefault="008D4B2E" w:rsidP="00B818D2">
      <w:pPr>
        <w:spacing w:before="100" w:after="100"/>
        <w:rPr>
          <w:rFonts w:ascii="宋体" w:eastAsia="宋体" w:hAnsi="宋体" w:cs="Times New Roman"/>
          <w:kern w:val="0"/>
          <w:sz w:val="18"/>
          <w:szCs w:val="18"/>
        </w:rPr>
      </w:pPr>
      <w:r w:rsidRPr="002B59B9">
        <w:rPr>
          <w:rFonts w:ascii="宋体" w:eastAsia="宋体" w:hAnsi="宋体" w:cs="Times New Roman"/>
          <w:kern w:val="0"/>
          <w:sz w:val="18"/>
          <w:szCs w:val="18"/>
        </w:rPr>
        <w:t>按照业务类型披露收入确认和计量所采用的会计政策</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）一般原则</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t>本公司与客户之间的合同同时满足下列条件时，在客户取得相关商品控制权时确认收入：合同各方已批准该合同并承诺将履行各自义务；合同明确了合同各方与所转让商品或提供劳务相关的权利和义务；合同有明确的与所转让商品相关的支付条款；合同具有商业实质，即履行该合同将改变本公司未来现金流量的风险、时间分布或金额；本公司因向客户转让商品而有权取得的对价很可能收回。</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t>在合同开始日，本公司识别合同中存在的各单项履约义务，并将交易价格按照各单项履约义务所承诺商品的单独售价的相对比例分摊至各单项履约义务。在确定交易价格时考虑了可变对价、合同中存在的重大融资成分、非现金对价、应付客户对价等因素的影响。</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t>对于合同中的每个单项履约义务，如果满足下列条件之一的，本公司在相关履约时段内按照履约进度将分摊至该单项履约义务的交易价格确认为收入：客户在本公司履约的同时即取得并消耗本公司履约所带来的经济利益；客户能够控制本公司履约过程中在建的商品；本公司履约过程中所产出的商品具有不可替代用途，且本公司在整个合同期间内有权就累计至今已完成的履约部分收取款项。履约进度根据所转让商品的性质采用投入法或产出法确定，当履约进度不能合理确定时，本公司已经发生的成本预计能够得到补偿的，按照已经发生的成本金额确认收入，直到履约进度能够合理确定为止。</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t>如果不满足上述条件之一，则本公司在客户取得相关商品控制权的时点将分摊至该单项履约义务的交易价格确认收入。在判断客户是否已取得商品控制权时，本公司考虑下列迹象：企业就该商品享有现时收款权利，即客户就该商品负有现时付款义务；企业已将该商品的法定所有权转移给客户，即客户已拥有该商品的法定所有权；企业已将该商品实物转移给客户，即客户已实物占有该商品；企业已将该商品所有权上的主要风险和报酬转移给客户，即客户已取得该商品所有权上的主要风险和报酬；客户已接受该商品；其他表明客户已取得商品控制权的迹象。</w:t>
      </w:r>
    </w:p>
    <w:p w:rsidR="008D4B2E" w:rsidRPr="002B59B9" w:rsidRDefault="008D4B2E" w:rsidP="00B818D2">
      <w:pPr>
        <w:pStyle w:val="a3"/>
        <w:spacing w:before="0" w:beforeAutospacing="0" w:after="0" w:afterAutospacing="0"/>
        <w:ind w:firstLine="400"/>
        <w:divId w:val="741635204"/>
        <w:rPr>
          <w:rFonts w:cs="Times New Roman"/>
          <w:sz w:val="18"/>
          <w:szCs w:val="18"/>
        </w:rPr>
      </w:pPr>
      <w:r w:rsidRPr="002B59B9">
        <w:rPr>
          <w:rFonts w:cs="Times New Roman" w:hint="eastAsia"/>
          <w:sz w:val="18"/>
          <w:szCs w:val="18"/>
        </w:rPr>
        <w:lastRenderedPageBreak/>
        <w:t>（</w:t>
      </w:r>
      <w:r w:rsidRPr="002B59B9">
        <w:rPr>
          <w:rFonts w:cs="Times New Roman"/>
          <w:sz w:val="18"/>
          <w:szCs w:val="18"/>
        </w:rPr>
        <w:t>2</w:t>
      </w:r>
      <w:r w:rsidRPr="002B59B9">
        <w:rPr>
          <w:rFonts w:cs="Times New Roman" w:hint="eastAsia"/>
          <w:sz w:val="18"/>
          <w:szCs w:val="18"/>
        </w:rPr>
        <w:t>）收入确认具体方法</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本公司收入确认的具体方法如下：</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①机械设备收入的确认原则：根据销售合同约定，通常以产品完成安装调试并验收合格后确认销售收入。</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②自行开发研制的软件产品销售收入确认原则：自行开发研制的软件产品是指经过信息产业部认证并获得著作权，销售时不转让所有权的软件产品。</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本公司自行开发的软件产品主要通过嵌入硬件设备销售，软件产品于安装完成后，买方取得软件产品控制权时确认收入。</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③系统集成收入的确认原则：系统集成收入是指与客户订立软件产品销售的同时，为其提供软件嵌入所需的设备配件和安装服务。</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对于系统集成业务，如果软件收入与设备配件及安装服务收入能分开核算，</w:t>
      </w:r>
      <w:proofErr w:type="gramStart"/>
      <w:r w:rsidRPr="002B59B9">
        <w:rPr>
          <w:rFonts w:cs="Times New Roman" w:hint="eastAsia"/>
          <w:sz w:val="18"/>
          <w:szCs w:val="18"/>
        </w:rPr>
        <w:t>则软件</w:t>
      </w:r>
      <w:proofErr w:type="gramEnd"/>
      <w:r w:rsidRPr="002B59B9">
        <w:rPr>
          <w:rFonts w:cs="Times New Roman" w:hint="eastAsia"/>
          <w:sz w:val="18"/>
          <w:szCs w:val="18"/>
        </w:rPr>
        <w:t>收入按上述软件产品销售的原则进行确认；如果软件收入与设备配件及安装服务收入不能分开核算，则将其一并核算，系统集成于安装完成后买方取得软件产品控制权时确认收入。</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④系统维护收入的确认原则：系统维护收入，主要是指按合同要求向客户提供售后服务的业务。</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售后服务业务是指超过合同规定的免费服务期限后的版本升级、系统维护、培训等有偿服务。在服务已经提供，收到价款或取得收取款项的证据时，确认服务收入。</w:t>
      </w:r>
    </w:p>
    <w:p w:rsidR="008D4B2E" w:rsidRPr="002B59B9" w:rsidRDefault="008D4B2E" w:rsidP="00B818D2">
      <w:pPr>
        <w:pStyle w:val="a3"/>
        <w:spacing w:before="0" w:beforeAutospacing="0" w:after="0" w:afterAutospacing="0"/>
        <w:ind w:firstLine="400"/>
        <w:jc w:val="both"/>
        <w:divId w:val="741635204"/>
        <w:rPr>
          <w:rFonts w:cs="Times New Roman"/>
          <w:sz w:val="18"/>
          <w:szCs w:val="18"/>
        </w:rPr>
      </w:pPr>
      <w:r w:rsidRPr="002B59B9">
        <w:rPr>
          <w:rFonts w:cs="Times New Roman" w:hint="eastAsia"/>
          <w:sz w:val="18"/>
          <w:szCs w:val="18"/>
        </w:rPr>
        <w:t>⑤橡胶材料销售收入的确认原则：根据销售合同约定，通常以买方取得产品控制权时确认收入。</w:t>
      </w:r>
    </w:p>
    <w:p w:rsidR="00BA0365" w:rsidRPr="002B59B9" w:rsidRDefault="008D4B2E" w:rsidP="00B818D2">
      <w:pPr>
        <w:spacing w:before="100" w:after="100"/>
        <w:rPr>
          <w:rFonts w:ascii="宋体" w:eastAsia="宋体" w:hAnsi="宋体" w:cs="Times New Roman"/>
          <w:kern w:val="0"/>
          <w:sz w:val="18"/>
          <w:szCs w:val="18"/>
        </w:rPr>
      </w:pPr>
      <w:r w:rsidRPr="002B59B9">
        <w:rPr>
          <w:rFonts w:ascii="宋体" w:eastAsia="宋体" w:hAnsi="宋体" w:cs="Times New Roman"/>
          <w:kern w:val="0"/>
          <w:sz w:val="18"/>
          <w:szCs w:val="18"/>
        </w:rPr>
        <w:t>同类业务采用不同经营模式涉及不同收入确认方式及计量方法的情况</w:t>
      </w:r>
    </w:p>
    <w:p w:rsidR="00BA0365" w:rsidRPr="002B59B9" w:rsidRDefault="008D4B2E" w:rsidP="00B818D2">
      <w:pPr>
        <w:spacing w:before="100" w:after="100"/>
        <w:rPr>
          <w:rFonts w:ascii="宋体" w:eastAsia="宋体" w:hAnsi="宋体" w:cs="Times New Roman"/>
          <w:kern w:val="0"/>
          <w:sz w:val="18"/>
          <w:szCs w:val="18"/>
        </w:rPr>
      </w:pPr>
      <w:r w:rsidRPr="002B59B9">
        <w:rPr>
          <w:rFonts w:ascii="宋体" w:eastAsia="宋体" w:hAnsi="宋体" w:cs="Times New Roman"/>
          <w:kern w:val="0"/>
          <w:sz w:val="18"/>
          <w:szCs w:val="18"/>
        </w:rPr>
        <w:t>公司需遵守《深圳证券交易所上市公司自律监管指引第3号——行业信息披露》中化工行业的披露要求</w:t>
      </w:r>
    </w:p>
    <w:p w:rsidR="00BA0365" w:rsidRDefault="008D4B2E" w:rsidP="00B818D2">
      <w:pPr>
        <w:pStyle w:val="3"/>
        <w:spacing w:line="240" w:lineRule="auto"/>
        <w:jc w:val="left"/>
        <w:rPr>
          <w:rFonts w:ascii="宋体" w:hAnsi="宋体" w:cs="宋体"/>
          <w:b/>
          <w:bCs/>
        </w:rPr>
      </w:pPr>
      <w:bookmarkStart w:id="212" w:name="_Toc989100"/>
      <w:r>
        <w:rPr>
          <w:rFonts w:ascii="宋体" w:hAnsi="宋体" w:cs="宋体"/>
          <w:b/>
          <w:bCs/>
        </w:rPr>
        <w:t>35、合同成本</w:t>
      </w:r>
      <w:bookmarkEnd w:id="212"/>
    </w:p>
    <w:p w:rsidR="008D4B2E" w:rsidRPr="002B59B9" w:rsidRDefault="008D4B2E" w:rsidP="00B818D2">
      <w:pPr>
        <w:pStyle w:val="a3"/>
        <w:spacing w:before="0" w:beforeAutospacing="0" w:after="0" w:afterAutospacing="0"/>
        <w:ind w:firstLine="400"/>
        <w:divId w:val="559022423"/>
        <w:rPr>
          <w:rFonts w:cs="Times New Roman"/>
          <w:sz w:val="18"/>
          <w:szCs w:val="18"/>
        </w:rPr>
      </w:pPr>
      <w:r>
        <w:rPr>
          <w:rFonts w:cs="Arial" w:hint="eastAsia"/>
          <w:color w:val="000000"/>
          <w:sz w:val="18"/>
          <w:szCs w:val="18"/>
        </w:rPr>
        <w:t>本</w:t>
      </w:r>
      <w:r w:rsidRPr="002B59B9">
        <w:rPr>
          <w:rFonts w:cs="Times New Roman" w:hint="eastAsia"/>
          <w:sz w:val="18"/>
          <w:szCs w:val="18"/>
        </w:rPr>
        <w:t>公司为取得合同发生的增量成本预期能够收回的，作为合同取得成本确认为一项资产，如果该资产的摊销期限不超过一年，则在发生时计入当期损益。</w:t>
      </w:r>
    </w:p>
    <w:p w:rsidR="008D4B2E" w:rsidRPr="002B59B9" w:rsidRDefault="008D4B2E" w:rsidP="00B818D2">
      <w:pPr>
        <w:pStyle w:val="a3"/>
        <w:spacing w:before="0" w:beforeAutospacing="0" w:after="0" w:afterAutospacing="0"/>
        <w:ind w:firstLine="400"/>
        <w:divId w:val="559022423"/>
        <w:rPr>
          <w:rFonts w:cs="Times New Roman"/>
          <w:sz w:val="18"/>
          <w:szCs w:val="18"/>
        </w:rPr>
      </w:pPr>
      <w:r w:rsidRPr="002B59B9">
        <w:rPr>
          <w:rFonts w:cs="Times New Roman" w:hint="eastAsia"/>
          <w:sz w:val="18"/>
          <w:szCs w:val="18"/>
        </w:rPr>
        <w:t>为履行合同发生的成本不属于《企业会计准则第</w:t>
      </w:r>
      <w:r w:rsidRPr="002B59B9">
        <w:rPr>
          <w:rFonts w:cs="Times New Roman"/>
          <w:sz w:val="18"/>
          <w:szCs w:val="18"/>
        </w:rPr>
        <w:t>14</w:t>
      </w:r>
      <w:r w:rsidRPr="002B59B9">
        <w:rPr>
          <w:rFonts w:cs="Times New Roman" w:hint="eastAsia"/>
          <w:sz w:val="18"/>
          <w:szCs w:val="18"/>
        </w:rPr>
        <w:t>号</w:t>
      </w:r>
      <w:r w:rsidRPr="002B59B9">
        <w:rPr>
          <w:rFonts w:cs="Times New Roman"/>
          <w:sz w:val="18"/>
          <w:szCs w:val="18"/>
        </w:rPr>
        <w:t>——</w:t>
      </w:r>
      <w:r w:rsidRPr="002B59B9">
        <w:rPr>
          <w:rFonts w:cs="Times New Roman" w:hint="eastAsia"/>
          <w:sz w:val="18"/>
          <w:szCs w:val="18"/>
        </w:rPr>
        <w:t>收入（</w:t>
      </w:r>
      <w:r w:rsidRPr="002B59B9">
        <w:rPr>
          <w:rFonts w:cs="Times New Roman"/>
          <w:sz w:val="18"/>
          <w:szCs w:val="18"/>
        </w:rPr>
        <w:t>2017</w:t>
      </w:r>
      <w:r w:rsidRPr="002B59B9">
        <w:rPr>
          <w:rFonts w:cs="Times New Roman" w:hint="eastAsia"/>
          <w:sz w:val="18"/>
          <w:szCs w:val="18"/>
        </w:rPr>
        <w:t>年修订）》之外的其他企业会计准则规范范围且同时满足下列条件的，作为合同履约成本确认为一项资产：①</w:t>
      </w:r>
      <w:proofErr w:type="gramStart"/>
      <w:r w:rsidRPr="002B59B9">
        <w:rPr>
          <w:rFonts w:cs="Times New Roman" w:hint="eastAsia"/>
          <w:sz w:val="18"/>
          <w:szCs w:val="18"/>
        </w:rPr>
        <w:t>该成本</w:t>
      </w:r>
      <w:proofErr w:type="gramEnd"/>
      <w:r w:rsidRPr="002B59B9">
        <w:rPr>
          <w:rFonts w:cs="Times New Roman" w:hint="eastAsia"/>
          <w:sz w:val="18"/>
          <w:szCs w:val="18"/>
        </w:rPr>
        <w:t>与一份当前或预期取得的合同直接相关，包括直接人工、直接材料、制造费用（或类似费用）、明确由客户承担的成本以及仅因该合同而发生的其他成本；②</w:t>
      </w:r>
      <w:proofErr w:type="gramStart"/>
      <w:r w:rsidRPr="002B59B9">
        <w:rPr>
          <w:rFonts w:cs="Times New Roman" w:hint="eastAsia"/>
          <w:sz w:val="18"/>
          <w:szCs w:val="18"/>
        </w:rPr>
        <w:t>该成本</w:t>
      </w:r>
      <w:proofErr w:type="gramEnd"/>
      <w:r w:rsidRPr="002B59B9">
        <w:rPr>
          <w:rFonts w:cs="Times New Roman" w:hint="eastAsia"/>
          <w:sz w:val="18"/>
          <w:szCs w:val="18"/>
        </w:rPr>
        <w:t>增加了本公司未来用于履行履约义务的资源；③</w:t>
      </w:r>
      <w:proofErr w:type="gramStart"/>
      <w:r w:rsidRPr="002B59B9">
        <w:rPr>
          <w:rFonts w:cs="Times New Roman" w:hint="eastAsia"/>
          <w:sz w:val="18"/>
          <w:szCs w:val="18"/>
        </w:rPr>
        <w:t>该成本</w:t>
      </w:r>
      <w:proofErr w:type="gramEnd"/>
      <w:r w:rsidRPr="002B59B9">
        <w:rPr>
          <w:rFonts w:cs="Times New Roman" w:hint="eastAsia"/>
          <w:sz w:val="18"/>
          <w:szCs w:val="18"/>
        </w:rPr>
        <w:t>预期能够收回。</w:t>
      </w:r>
    </w:p>
    <w:p w:rsidR="008D4B2E" w:rsidRPr="002B59B9" w:rsidRDefault="008D4B2E" w:rsidP="00B818D2">
      <w:pPr>
        <w:pStyle w:val="a3"/>
        <w:spacing w:before="0" w:beforeAutospacing="0" w:after="0" w:afterAutospacing="0"/>
        <w:jc w:val="both"/>
        <w:divId w:val="559022423"/>
        <w:rPr>
          <w:rFonts w:cs="Times New Roman"/>
          <w:sz w:val="18"/>
          <w:szCs w:val="18"/>
        </w:rPr>
      </w:pPr>
      <w:r w:rsidRPr="002B59B9">
        <w:rPr>
          <w:rFonts w:cs="Times New Roman" w:hint="eastAsia"/>
          <w:sz w:val="18"/>
          <w:szCs w:val="18"/>
        </w:rPr>
        <w:t>与合同成本有关的资产采用与该资产相关的商品收入确认相同的基础进行摊销，计入当期损益。</w:t>
      </w:r>
    </w:p>
    <w:p w:rsidR="00BA0365" w:rsidRDefault="008D4B2E" w:rsidP="00B818D2">
      <w:pPr>
        <w:pStyle w:val="3"/>
        <w:spacing w:line="240" w:lineRule="auto"/>
        <w:jc w:val="left"/>
        <w:rPr>
          <w:rFonts w:ascii="宋体" w:hAnsi="宋体" w:cs="宋体"/>
          <w:b/>
          <w:bCs/>
        </w:rPr>
      </w:pPr>
      <w:bookmarkStart w:id="213" w:name="_Toc989101"/>
      <w:r>
        <w:rPr>
          <w:rFonts w:ascii="宋体" w:hAnsi="宋体" w:cs="宋体"/>
          <w:b/>
          <w:bCs/>
        </w:rPr>
        <w:t>36、政府补助</w:t>
      </w:r>
      <w:bookmarkEnd w:id="213"/>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政府补助是指本公司从政府无偿取得货币性资产和非货币性资产，不包括政府以投资者身份并享有相应所有者权益而投入的资本。政府补助分为与资产相关的政府补助和与收益相关的政府补助。本公司将所取得的用于购建或以其他方式形成长期资产的政府补助界定为与资产相关的政府补助；</w:t>
      </w:r>
      <w:proofErr w:type="gramStart"/>
      <w:r w:rsidRPr="002B59B9">
        <w:rPr>
          <w:rFonts w:cs="Times New Roman" w:hint="eastAsia"/>
          <w:sz w:val="18"/>
          <w:szCs w:val="18"/>
        </w:rPr>
        <w:t>其余政府</w:t>
      </w:r>
      <w:proofErr w:type="gramEnd"/>
      <w:r w:rsidRPr="002B59B9">
        <w:rPr>
          <w:rFonts w:cs="Times New Roman" w:hint="eastAsia"/>
          <w:sz w:val="18"/>
          <w:szCs w:val="18"/>
        </w:rPr>
        <w:t>补助界定为与收益相关的政府补助。若政府文件未明确规定补助对象，则采用以下方式将补助款划分为与收益相关的政府补助和与资产相关的政府补助：（</w:t>
      </w:r>
      <w:r w:rsidRPr="002B59B9">
        <w:rPr>
          <w:rFonts w:cs="Times New Roman"/>
          <w:sz w:val="18"/>
          <w:szCs w:val="18"/>
        </w:rPr>
        <w:t>1</w:t>
      </w:r>
      <w:r w:rsidRPr="002B59B9">
        <w:rPr>
          <w:rFonts w:cs="Times New Roman" w:hint="eastAsia"/>
          <w:sz w:val="18"/>
          <w:szCs w:val="18"/>
        </w:rPr>
        <w:t>）政府文件明确了补助所针对的特定项目的，根据该特定项目的预算中将形成资产的支出金额和计入费用的支出金额的相对比例进行划分，对该划分比例需在每个资产负债表日进行复核，必要时进行变更；（</w:t>
      </w:r>
      <w:r w:rsidRPr="002B59B9">
        <w:rPr>
          <w:rFonts w:cs="Times New Roman"/>
          <w:sz w:val="18"/>
          <w:szCs w:val="18"/>
        </w:rPr>
        <w:t>2</w:t>
      </w:r>
      <w:r w:rsidRPr="002B59B9">
        <w:rPr>
          <w:rFonts w:cs="Times New Roman" w:hint="eastAsia"/>
          <w:sz w:val="18"/>
          <w:szCs w:val="18"/>
        </w:rPr>
        <w:t>）政府文件中对用途仅作一般性表述，没有指明特定项目的，作为与收益相关的政府补助。政府补助为货币性资产的，按照收到或应收的金额计量。政府补助为非货币性资产的，按照公允价值计量；公允价值不能够可靠取得的，按照名义金额计量。按照名义金额计量的政府补助，直接计入当期损益。</w:t>
      </w:r>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本公司对于政府补助通常在实际收到时，按照实</w:t>
      </w:r>
      <w:proofErr w:type="gramStart"/>
      <w:r w:rsidRPr="002B59B9">
        <w:rPr>
          <w:rFonts w:cs="Times New Roman" w:hint="eastAsia"/>
          <w:sz w:val="18"/>
          <w:szCs w:val="18"/>
        </w:rPr>
        <w:t>收金额</w:t>
      </w:r>
      <w:proofErr w:type="gramEnd"/>
      <w:r w:rsidRPr="002B59B9">
        <w:rPr>
          <w:rFonts w:cs="Times New Roman" w:hint="eastAsia"/>
          <w:sz w:val="18"/>
          <w:szCs w:val="18"/>
        </w:rPr>
        <w:t>予以确认和计量。但对于期末有确凿证据表明能够符合财政扶持政策规定的相关条件预计能够收到财政扶持资金，按照应收的金额计量。按照应收金额计量的政府补助应同时符合以下条件：（</w:t>
      </w:r>
      <w:r w:rsidRPr="002B59B9">
        <w:rPr>
          <w:rFonts w:cs="Times New Roman"/>
          <w:sz w:val="18"/>
          <w:szCs w:val="18"/>
        </w:rPr>
        <w:t>1</w:t>
      </w:r>
      <w:r w:rsidRPr="002B59B9">
        <w:rPr>
          <w:rFonts w:cs="Times New Roman" w:hint="eastAsia"/>
          <w:sz w:val="18"/>
          <w:szCs w:val="18"/>
        </w:rPr>
        <w:t>）应收补助款的金额已经过有权政府部门发文确认，或者可根据正式发布的财政资金管理办法的有关规定自行合理测算，且预计其金额不存在重大不确定性；（</w:t>
      </w:r>
      <w:r w:rsidRPr="002B59B9">
        <w:rPr>
          <w:rFonts w:cs="Times New Roman"/>
          <w:sz w:val="18"/>
          <w:szCs w:val="18"/>
        </w:rPr>
        <w:t>2</w:t>
      </w:r>
      <w:r w:rsidRPr="002B59B9">
        <w:rPr>
          <w:rFonts w:cs="Times New Roman" w:hint="eastAsia"/>
          <w:sz w:val="18"/>
          <w:szCs w:val="18"/>
        </w:rPr>
        <w:t>）所依据的是当地财政部门正式发布并按照《政府信息公开条例》的规定</w:t>
      </w:r>
      <w:r w:rsidRPr="002B59B9">
        <w:rPr>
          <w:rFonts w:cs="Times New Roman" w:hint="eastAsia"/>
          <w:sz w:val="18"/>
          <w:szCs w:val="18"/>
        </w:rPr>
        <w:lastRenderedPageBreak/>
        <w:t>予以主动公开的财政扶持项目及其财政资金管理办法，且该管理办法应当是普惠性的（任何符合规定条件的企业均可申请），而不是专门针对特定企业制定的；（</w:t>
      </w:r>
      <w:r w:rsidRPr="002B59B9">
        <w:rPr>
          <w:rFonts w:cs="Times New Roman"/>
          <w:sz w:val="18"/>
          <w:szCs w:val="18"/>
        </w:rPr>
        <w:t>3</w:t>
      </w:r>
      <w:r w:rsidRPr="002B59B9">
        <w:rPr>
          <w:rFonts w:cs="Times New Roman" w:hint="eastAsia"/>
          <w:sz w:val="18"/>
          <w:szCs w:val="18"/>
        </w:rPr>
        <w:t>）相关的补助款批文中已明确承诺了拨付期限，且该款项的拨付是有相应财政预算作为保障的，因而可以合理保证其可在规定期限内收到；（</w:t>
      </w:r>
      <w:r w:rsidRPr="002B59B9">
        <w:rPr>
          <w:rFonts w:cs="Times New Roman"/>
          <w:sz w:val="18"/>
          <w:szCs w:val="18"/>
        </w:rPr>
        <w:t>4</w:t>
      </w:r>
      <w:r w:rsidRPr="002B59B9">
        <w:rPr>
          <w:rFonts w:cs="Times New Roman" w:hint="eastAsia"/>
          <w:sz w:val="18"/>
          <w:szCs w:val="18"/>
        </w:rPr>
        <w:t>）根据本公司和该补助事项的具体情况，应满足的其他相关条件。</w:t>
      </w:r>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与资产相关的政府补助，</w:t>
      </w:r>
      <w:proofErr w:type="gramStart"/>
      <w:r w:rsidRPr="002B59B9">
        <w:rPr>
          <w:rFonts w:cs="Times New Roman" w:hint="eastAsia"/>
          <w:sz w:val="18"/>
          <w:szCs w:val="18"/>
        </w:rPr>
        <w:t>确认为递延</w:t>
      </w:r>
      <w:proofErr w:type="gramEnd"/>
      <w:r w:rsidRPr="002B59B9">
        <w:rPr>
          <w:rFonts w:cs="Times New Roman" w:hint="eastAsia"/>
          <w:sz w:val="18"/>
          <w:szCs w:val="18"/>
        </w:rPr>
        <w:t>收益，并在相关资产的使用寿命内按照合理、系统的方法分期计入当期损益或冲减相关资产的账面价值。与收益相关的政府补助，用于补偿以后期间的相关成本费用或损失的，</w:t>
      </w:r>
      <w:proofErr w:type="gramStart"/>
      <w:r w:rsidRPr="002B59B9">
        <w:rPr>
          <w:rFonts w:cs="Times New Roman" w:hint="eastAsia"/>
          <w:sz w:val="18"/>
          <w:szCs w:val="18"/>
        </w:rPr>
        <w:t>确认为递延</w:t>
      </w:r>
      <w:proofErr w:type="gramEnd"/>
      <w:r w:rsidRPr="002B59B9">
        <w:rPr>
          <w:rFonts w:cs="Times New Roman" w:hint="eastAsia"/>
          <w:sz w:val="18"/>
          <w:szCs w:val="18"/>
        </w:rPr>
        <w:t>收益，并在确认相关成本费用或损失的期间计入当期损益或冲减相关成本费用；用于补偿已经发生的相关成本费用或损失的，直接计入当期损益或冲减相关成本费用。</w:t>
      </w:r>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同时包含与资产相关部分和与收益相关部分的政府补助，区分不同部分分别进行会计处理；难以区分的，将其整体归类为与收益相关的政府补助。</w:t>
      </w:r>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与本公司日常活动相关的政府补助，按照经济业务的实质，计入其他收益或冲减相关成本费用；与日常活动无关的政府补助，计入营业外收支。</w:t>
      </w:r>
    </w:p>
    <w:p w:rsidR="008D4B2E" w:rsidRPr="002B59B9" w:rsidRDefault="008D4B2E" w:rsidP="00B818D2">
      <w:pPr>
        <w:pStyle w:val="a3"/>
        <w:spacing w:before="0" w:beforeAutospacing="0" w:after="0" w:afterAutospacing="0"/>
        <w:ind w:firstLine="400"/>
        <w:divId w:val="1718819569"/>
        <w:rPr>
          <w:rFonts w:cs="Times New Roman"/>
          <w:sz w:val="18"/>
          <w:szCs w:val="18"/>
        </w:rPr>
      </w:pPr>
      <w:r w:rsidRPr="002B59B9">
        <w:rPr>
          <w:rFonts w:cs="Times New Roman" w:hint="eastAsia"/>
          <w:sz w:val="18"/>
          <w:szCs w:val="18"/>
        </w:rPr>
        <w:t>已确认的政府补助需要退回时，存在相关递延收益余额的，冲减相关递延收益账面余额，超出部分计入当期损益或对初始确认时冲减相关资产账面价值的与资产相关的政府补助，调整资产账面价值；属于其他情况的，直接计入当期损益。</w:t>
      </w:r>
    </w:p>
    <w:p w:rsidR="00BA0365" w:rsidRDefault="008D4B2E" w:rsidP="00B818D2">
      <w:pPr>
        <w:pStyle w:val="3"/>
        <w:spacing w:line="240" w:lineRule="auto"/>
        <w:jc w:val="left"/>
        <w:rPr>
          <w:rFonts w:ascii="宋体" w:hAnsi="宋体" w:cs="宋体"/>
          <w:b/>
          <w:bCs/>
        </w:rPr>
      </w:pPr>
      <w:bookmarkStart w:id="214" w:name="_Toc989102"/>
      <w:r>
        <w:rPr>
          <w:rFonts w:ascii="宋体" w:hAnsi="宋体" w:cs="宋体"/>
          <w:b/>
          <w:bCs/>
        </w:rPr>
        <w:t>37、递延所得税资产/递延所得税负债</w:t>
      </w:r>
      <w:bookmarkEnd w:id="214"/>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）当期所得税</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资产负债表日，对于当期和以前期间形成的当期所得税负债（或资产），以按照税法规定计算的预期应交纳（或返还）的所得税金额计量。计算当期所得税费用所依据的应纳税</w:t>
      </w:r>
      <w:proofErr w:type="gramStart"/>
      <w:r w:rsidRPr="002B59B9">
        <w:rPr>
          <w:rFonts w:cs="Times New Roman" w:hint="eastAsia"/>
          <w:sz w:val="18"/>
          <w:szCs w:val="18"/>
        </w:rPr>
        <w:t>所得额系根据</w:t>
      </w:r>
      <w:proofErr w:type="gramEnd"/>
      <w:r w:rsidRPr="002B59B9">
        <w:rPr>
          <w:rFonts w:cs="Times New Roman" w:hint="eastAsia"/>
          <w:sz w:val="18"/>
          <w:szCs w:val="18"/>
        </w:rPr>
        <w:t>有关税法规定对本年度税前会计利润作相应调整后计算得出。</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）递延所得税资产及递延所得税负债</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与商誉的初始确认有关，</w:t>
      </w:r>
      <w:proofErr w:type="gramStart"/>
      <w:r w:rsidRPr="002B59B9">
        <w:rPr>
          <w:rFonts w:cs="Times New Roman" w:hint="eastAsia"/>
          <w:sz w:val="18"/>
          <w:szCs w:val="18"/>
        </w:rPr>
        <w:t>以及与既不是</w:t>
      </w:r>
      <w:proofErr w:type="gramEnd"/>
      <w:r w:rsidRPr="002B59B9">
        <w:rPr>
          <w:rFonts w:cs="Times New Roman" w:hint="eastAsia"/>
          <w:sz w:val="18"/>
          <w:szCs w:val="18"/>
        </w:rPr>
        <w:t>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8D4B2E" w:rsidRPr="002B59B9" w:rsidRDefault="008D4B2E" w:rsidP="00B818D2">
      <w:pPr>
        <w:pStyle w:val="a3"/>
        <w:spacing w:before="0" w:beforeAutospacing="0" w:after="0" w:afterAutospacing="0"/>
        <w:ind w:firstLine="400"/>
        <w:divId w:val="303312830"/>
        <w:rPr>
          <w:rFonts w:cs="Times New Roman"/>
          <w:sz w:val="18"/>
          <w:szCs w:val="18"/>
        </w:rPr>
      </w:pPr>
      <w:proofErr w:type="gramStart"/>
      <w:r w:rsidRPr="002B59B9">
        <w:rPr>
          <w:rFonts w:cs="Times New Roman" w:hint="eastAsia"/>
          <w:sz w:val="18"/>
          <w:szCs w:val="18"/>
        </w:rPr>
        <w:t>与既不是</w:t>
      </w:r>
      <w:proofErr w:type="gramEnd"/>
      <w:r w:rsidRPr="002B59B9">
        <w:rPr>
          <w:rFonts w:cs="Times New Roman" w:hint="eastAsia"/>
          <w:sz w:val="18"/>
          <w:szCs w:val="18"/>
        </w:rPr>
        <w:t>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对于能够结转以后年度的可抵扣亏损和税款抵减，以很可能获得用来抵扣可抵扣亏损和税款抵减的未来应纳税所得额为限，确认相应的递延所得税资产。</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资产负债表日，对于递延所得税资产和递延所得税负债，根据税法规定，按照预期收回相关资产或清偿相关负债期间的适用税率计量。</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于资产负债表日，对递延所得税资产的账面价值进行复核，如果未来很可能无法获得足够的应纳税所得额用以抵扣递延所得税资产的利益，则</w:t>
      </w:r>
      <w:proofErr w:type="gramStart"/>
      <w:r w:rsidRPr="002B59B9">
        <w:rPr>
          <w:rFonts w:cs="Times New Roman" w:hint="eastAsia"/>
          <w:sz w:val="18"/>
          <w:szCs w:val="18"/>
        </w:rPr>
        <w:t>减记递</w:t>
      </w:r>
      <w:proofErr w:type="gramEnd"/>
      <w:r w:rsidRPr="002B59B9">
        <w:rPr>
          <w:rFonts w:cs="Times New Roman" w:hint="eastAsia"/>
          <w:sz w:val="18"/>
          <w:szCs w:val="18"/>
        </w:rPr>
        <w:t>延所得税资产的账面价值。在很可能获得足够的应纳税所得额时，</w:t>
      </w:r>
      <w:proofErr w:type="gramStart"/>
      <w:r w:rsidRPr="002B59B9">
        <w:rPr>
          <w:rFonts w:cs="Times New Roman" w:hint="eastAsia"/>
          <w:sz w:val="18"/>
          <w:szCs w:val="18"/>
        </w:rPr>
        <w:t>减记的</w:t>
      </w:r>
      <w:proofErr w:type="gramEnd"/>
      <w:r w:rsidRPr="002B59B9">
        <w:rPr>
          <w:rFonts w:cs="Times New Roman" w:hint="eastAsia"/>
          <w:sz w:val="18"/>
          <w:szCs w:val="18"/>
        </w:rPr>
        <w:t>金额予以转回。</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）所得税费用</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所得税费用包括当期所得税和递延所得税。</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lastRenderedPageBreak/>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w:t>
      </w:r>
      <w:r w:rsidRPr="002B59B9">
        <w:rPr>
          <w:rFonts w:cs="Times New Roman"/>
          <w:sz w:val="18"/>
          <w:szCs w:val="18"/>
        </w:rPr>
        <w:t>4</w:t>
      </w:r>
      <w:r w:rsidRPr="002B59B9">
        <w:rPr>
          <w:rFonts w:cs="Times New Roman" w:hint="eastAsia"/>
          <w:sz w:val="18"/>
          <w:szCs w:val="18"/>
        </w:rPr>
        <w:t>）所得税的</w:t>
      </w:r>
      <w:proofErr w:type="gramStart"/>
      <w:r w:rsidRPr="002B59B9">
        <w:rPr>
          <w:rFonts w:cs="Times New Roman" w:hint="eastAsia"/>
          <w:sz w:val="18"/>
          <w:szCs w:val="18"/>
        </w:rPr>
        <w:t>抵销</w:t>
      </w:r>
      <w:proofErr w:type="gramEnd"/>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当拥有以净额结算的法定权利，且意图以净额结算或取得资产、清偿负债同时进行时，本公司当期所得税资产及当期所得税负债以</w:t>
      </w:r>
      <w:proofErr w:type="gramStart"/>
      <w:r w:rsidRPr="002B59B9">
        <w:rPr>
          <w:rFonts w:cs="Times New Roman" w:hint="eastAsia"/>
          <w:sz w:val="18"/>
          <w:szCs w:val="18"/>
        </w:rPr>
        <w:t>抵销</w:t>
      </w:r>
      <w:proofErr w:type="gramEnd"/>
      <w:r w:rsidRPr="002B59B9">
        <w:rPr>
          <w:rFonts w:cs="Times New Roman" w:hint="eastAsia"/>
          <w:sz w:val="18"/>
          <w:szCs w:val="18"/>
        </w:rPr>
        <w:t>后的净额列报。</w:t>
      </w:r>
    </w:p>
    <w:p w:rsidR="008D4B2E" w:rsidRPr="002B59B9" w:rsidRDefault="008D4B2E" w:rsidP="00B818D2">
      <w:pPr>
        <w:pStyle w:val="a3"/>
        <w:spacing w:before="0" w:beforeAutospacing="0" w:after="0" w:afterAutospacing="0"/>
        <w:ind w:firstLine="400"/>
        <w:divId w:val="303312830"/>
        <w:rPr>
          <w:rFonts w:cs="Times New Roman"/>
          <w:sz w:val="18"/>
          <w:szCs w:val="18"/>
        </w:rPr>
      </w:pPr>
      <w:r w:rsidRPr="002B59B9">
        <w:rPr>
          <w:rFonts w:cs="Times New Roman" w:hint="eastAsia"/>
          <w:sz w:val="18"/>
          <w:szCs w:val="18"/>
        </w:rPr>
        <w:t>当拥有以净额结算当期所得税资产及当期所得税负债的法定权利，</w:t>
      </w:r>
      <w:proofErr w:type="gramStart"/>
      <w:r w:rsidRPr="002B59B9">
        <w:rPr>
          <w:rFonts w:cs="Times New Roman" w:hint="eastAsia"/>
          <w:sz w:val="18"/>
          <w:szCs w:val="18"/>
        </w:rPr>
        <w:t>且递延</w:t>
      </w:r>
      <w:proofErr w:type="gramEnd"/>
      <w:r w:rsidRPr="002B59B9">
        <w:rPr>
          <w:rFonts w:cs="Times New Roman" w:hint="eastAsia"/>
          <w:sz w:val="18"/>
          <w:szCs w:val="18"/>
        </w:rPr>
        <w:t>所得税资产及递延所得税负债是与同</w:t>
      </w:r>
      <w:proofErr w:type="gramStart"/>
      <w:r w:rsidRPr="002B59B9">
        <w:rPr>
          <w:rFonts w:cs="Times New Roman" w:hint="eastAsia"/>
          <w:sz w:val="18"/>
          <w:szCs w:val="18"/>
        </w:rPr>
        <w:t>一税收</w:t>
      </w:r>
      <w:proofErr w:type="gramEnd"/>
      <w:r w:rsidRPr="002B59B9">
        <w:rPr>
          <w:rFonts w:cs="Times New Roman" w:hint="eastAsia"/>
          <w:sz w:val="18"/>
          <w:szCs w:val="18"/>
        </w:rPr>
        <w:t>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w:t>
      </w:r>
      <w:proofErr w:type="gramStart"/>
      <w:r w:rsidRPr="002B59B9">
        <w:rPr>
          <w:rFonts w:cs="Times New Roman" w:hint="eastAsia"/>
          <w:sz w:val="18"/>
          <w:szCs w:val="18"/>
        </w:rPr>
        <w:t>抵销</w:t>
      </w:r>
      <w:proofErr w:type="gramEnd"/>
      <w:r w:rsidRPr="002B59B9">
        <w:rPr>
          <w:rFonts w:cs="Times New Roman" w:hint="eastAsia"/>
          <w:sz w:val="18"/>
          <w:szCs w:val="18"/>
        </w:rPr>
        <w:t>后的净额列报。</w:t>
      </w:r>
    </w:p>
    <w:p w:rsidR="00BA0365" w:rsidRDefault="008D4B2E" w:rsidP="00B818D2">
      <w:pPr>
        <w:pStyle w:val="3"/>
        <w:spacing w:line="240" w:lineRule="auto"/>
        <w:jc w:val="left"/>
        <w:rPr>
          <w:rFonts w:ascii="宋体" w:hAnsi="宋体" w:cs="宋体"/>
          <w:b/>
          <w:bCs/>
        </w:rPr>
      </w:pPr>
      <w:bookmarkStart w:id="215" w:name="_Toc989103"/>
      <w:r>
        <w:rPr>
          <w:rFonts w:ascii="宋体" w:hAnsi="宋体" w:cs="宋体"/>
          <w:b/>
          <w:bCs/>
        </w:rPr>
        <w:t>38、租赁</w:t>
      </w:r>
      <w:bookmarkEnd w:id="215"/>
    </w:p>
    <w:p w:rsidR="00BA0365" w:rsidRDefault="008D4B2E" w:rsidP="00B818D2">
      <w:pPr>
        <w:keepNext/>
        <w:keepLines/>
        <w:spacing w:before="300" w:after="300"/>
        <w:outlineLvl w:val="3"/>
        <w:rPr>
          <w:rFonts w:ascii="宋体" w:eastAsia="宋体" w:hAnsi="宋体" w:cs="宋体"/>
          <w:b/>
          <w:bCs/>
          <w:szCs w:val="21"/>
        </w:rPr>
      </w:pPr>
      <w:bookmarkStart w:id="216" w:name="_Toc989104"/>
      <w:r>
        <w:rPr>
          <w:rFonts w:ascii="宋体" w:eastAsia="宋体" w:hAnsi="宋体" w:cs="宋体"/>
          <w:b/>
          <w:bCs/>
          <w:szCs w:val="21"/>
        </w:rPr>
        <w:t>（1） 作为承租方租赁的会计处理方法</w:t>
      </w:r>
      <w:bookmarkEnd w:id="216"/>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本公司租赁资产的类别主要为房屋建筑物等。</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①初始计量</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在租赁期开始日，本公司将可在租赁期内使用租赁资产的权利确认为使用权资产，将尚未支付的租赁付款额的现值确认为租赁负债，短期租赁和低价值资产租赁除外。在计算租赁付款额的现值时，本公司采用承租人增量借款利率作为折现率。</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②后续计量</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本公司自租赁期开始的次月对使用权资产计提折旧，能够合理确定租赁期届满时取得租赁资产所有权的，本公司在租赁资产剩余使用寿命内计提折旧。无法合理确定租赁期届满时能够取得租赁资产所有权的，本公司在租赁期与租赁资产剩余使用寿命两者孰短的期间内计提折旧。</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对于租赁负债，本公司按照固定的周期性利率计算其在租赁期内各期间的利息费用，计入当期损益或计入相关资产成本。未纳入租赁负债计量的可变租赁付款额在实际发生时计入当期损益或相关资产成本。</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租赁期开始日后，当实质固定付款额发生变动、担保余值预计的应付金额发生变化、用于确定租赁付款额的指数或比率发生变动、购买选择权、续租选择权或终止选择权的评估结果或实际行权情况发生变化时，本公司按照变动后的租赁付款额的现值重新计量租赁负债，并相应调整使用权资产的账面价值。使用权资产账面价值已调减至零，但租赁负债仍需进一步调减的，本公司将剩余金额计入当期损益。</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③短期租赁和低价值资产租赁</w:t>
      </w:r>
      <w:r w:rsidRPr="002B59B9">
        <w:rPr>
          <w:rFonts w:cs="Times New Roman"/>
          <w:sz w:val="18"/>
          <w:szCs w:val="18"/>
        </w:rPr>
        <w:t xml:space="preserve"> </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对于短期租赁（在租赁开始日租赁期不超过</w:t>
      </w:r>
      <w:r w:rsidRPr="002B59B9">
        <w:rPr>
          <w:rFonts w:cs="Times New Roman"/>
          <w:sz w:val="18"/>
          <w:szCs w:val="18"/>
        </w:rPr>
        <w:t>12</w:t>
      </w:r>
      <w:r w:rsidRPr="002B59B9">
        <w:rPr>
          <w:rFonts w:cs="Times New Roman" w:hint="eastAsia"/>
          <w:sz w:val="18"/>
          <w:szCs w:val="18"/>
        </w:rPr>
        <w:t>个月的租赁）和低价值资产租赁，本公司采取简化处理方法，不确认使用权资产和租赁负债，而在租赁期内各个期间按照直线法或其他系统合理的方法将租赁付款额计入相关资产成本或当期损益。</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④租赁变更</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租赁发生变更且同时符合下列条件的，本公司将该租赁变更作为一项单独租赁进行会计处理：</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sz w:val="18"/>
          <w:szCs w:val="18"/>
        </w:rPr>
        <w:t xml:space="preserve">• </w:t>
      </w:r>
      <w:r w:rsidRPr="002B59B9">
        <w:rPr>
          <w:rFonts w:cs="Times New Roman" w:hint="eastAsia"/>
          <w:sz w:val="18"/>
          <w:szCs w:val="18"/>
        </w:rPr>
        <w:t>该租赁变更通过增加一项或多项租赁资产的使用权而扩大了租赁范围；</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sz w:val="18"/>
          <w:szCs w:val="18"/>
        </w:rPr>
        <w:t xml:space="preserve">• </w:t>
      </w:r>
      <w:r w:rsidRPr="002B59B9">
        <w:rPr>
          <w:rFonts w:cs="Times New Roman" w:hint="eastAsia"/>
          <w:sz w:val="18"/>
          <w:szCs w:val="18"/>
        </w:rPr>
        <w:t>增加的对价与租赁范围扩大部分的单独价格按该合同情况调整后的金额相当。</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租赁变更未作为一项单独租赁进行会计处理的，在租赁变更生效日，本公司重新分摊变更后合同的对价，重新确定租赁期，并按照变更后租赁付款额和修订后的折现率计算的现值重新计量租赁负债。</w:t>
      </w:r>
    </w:p>
    <w:p w:rsidR="008D4B2E" w:rsidRPr="002B59B9" w:rsidRDefault="008D4B2E" w:rsidP="00B818D2">
      <w:pPr>
        <w:pStyle w:val="a3"/>
        <w:spacing w:before="0" w:beforeAutospacing="0" w:after="0" w:afterAutospacing="0"/>
        <w:ind w:firstLine="400"/>
        <w:divId w:val="750391646"/>
        <w:rPr>
          <w:rFonts w:cs="Times New Roman"/>
          <w:sz w:val="18"/>
          <w:szCs w:val="18"/>
        </w:rPr>
      </w:pPr>
      <w:r w:rsidRPr="002B59B9">
        <w:rPr>
          <w:rFonts w:cs="Times New Roman" w:hint="eastAsia"/>
          <w:sz w:val="18"/>
          <w:szCs w:val="18"/>
        </w:rPr>
        <w:t>租赁变更导致租赁范围缩小或租赁期缩短的，本公司相应调减使用权资产的账面价值，并将部分终止或完全终止租赁的相关利得或损失计入当期损益。其他租赁变更导致租赁负债重新计量的，本公司相应调整使用权资产的账面价值。</w:t>
      </w:r>
    </w:p>
    <w:p w:rsidR="00BA0365" w:rsidRDefault="008D4B2E" w:rsidP="00B818D2">
      <w:pPr>
        <w:keepNext/>
        <w:keepLines/>
        <w:spacing w:before="300" w:after="300"/>
        <w:outlineLvl w:val="3"/>
        <w:rPr>
          <w:rFonts w:ascii="宋体" w:eastAsia="宋体" w:hAnsi="宋体" w:cs="宋体"/>
          <w:b/>
          <w:bCs/>
          <w:szCs w:val="21"/>
        </w:rPr>
      </w:pPr>
      <w:bookmarkStart w:id="217" w:name="_Toc989105"/>
      <w:r>
        <w:rPr>
          <w:rFonts w:ascii="宋体" w:eastAsia="宋体" w:hAnsi="宋体" w:cs="宋体"/>
          <w:b/>
          <w:bCs/>
          <w:szCs w:val="21"/>
        </w:rPr>
        <w:lastRenderedPageBreak/>
        <w:t>（2） 作为出租方租赁的会计处理方法</w:t>
      </w:r>
      <w:bookmarkEnd w:id="217"/>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本公司在租赁开始日，基于交易的实质，将租赁分为融资租赁和经营租赁。融资租赁是指实质上转移了与租赁资产所有权有关的几乎全部风险和报酬的租赁。经营租赁是指除融资租赁以外的其他租赁。</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①</w:t>
      </w:r>
      <w:r w:rsidRPr="002B59B9">
        <w:rPr>
          <w:rFonts w:cs="Times New Roman"/>
          <w:sz w:val="18"/>
          <w:szCs w:val="18"/>
        </w:rPr>
        <w:t xml:space="preserve"> </w:t>
      </w:r>
      <w:r w:rsidRPr="002B59B9">
        <w:rPr>
          <w:rFonts w:cs="Times New Roman" w:hint="eastAsia"/>
          <w:sz w:val="18"/>
          <w:szCs w:val="18"/>
        </w:rPr>
        <w:t>经营租赁</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本公司采用直线法将经营租赁的</w:t>
      </w:r>
      <w:proofErr w:type="gramStart"/>
      <w:r w:rsidRPr="002B59B9">
        <w:rPr>
          <w:rFonts w:cs="Times New Roman" w:hint="eastAsia"/>
          <w:sz w:val="18"/>
          <w:szCs w:val="18"/>
        </w:rPr>
        <w:t>租赁收</w:t>
      </w:r>
      <w:proofErr w:type="gramEnd"/>
      <w:r w:rsidRPr="002B59B9">
        <w:rPr>
          <w:rFonts w:cs="Times New Roman" w:hint="eastAsia"/>
          <w:sz w:val="18"/>
          <w:szCs w:val="18"/>
        </w:rPr>
        <w:t>款额确认为租赁期内各期间的租金收入。与经营租赁有关的未计入</w:t>
      </w:r>
      <w:proofErr w:type="gramStart"/>
      <w:r w:rsidRPr="002B59B9">
        <w:rPr>
          <w:rFonts w:cs="Times New Roman" w:hint="eastAsia"/>
          <w:sz w:val="18"/>
          <w:szCs w:val="18"/>
        </w:rPr>
        <w:t>租赁收</w:t>
      </w:r>
      <w:proofErr w:type="gramEnd"/>
      <w:r w:rsidRPr="002B59B9">
        <w:rPr>
          <w:rFonts w:cs="Times New Roman" w:hint="eastAsia"/>
          <w:sz w:val="18"/>
          <w:szCs w:val="18"/>
        </w:rPr>
        <w:t>款额的可变租赁付款额，于实际发生时计入当期损益。</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②</w:t>
      </w:r>
      <w:r w:rsidRPr="002B59B9">
        <w:rPr>
          <w:rFonts w:cs="Times New Roman"/>
          <w:sz w:val="18"/>
          <w:szCs w:val="18"/>
        </w:rPr>
        <w:t xml:space="preserve"> </w:t>
      </w:r>
      <w:r w:rsidRPr="002B59B9">
        <w:rPr>
          <w:rFonts w:cs="Times New Roman" w:hint="eastAsia"/>
          <w:sz w:val="18"/>
          <w:szCs w:val="18"/>
        </w:rPr>
        <w:t>融资租赁</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于租赁期开始日，本公司确认应收融资租赁款，并终止确认融资租赁资产。应收融资租赁款以租赁投资净额（未担保余值和租赁期开始日尚未收到的</w:t>
      </w:r>
      <w:proofErr w:type="gramStart"/>
      <w:r w:rsidRPr="002B59B9">
        <w:rPr>
          <w:rFonts w:cs="Times New Roman" w:hint="eastAsia"/>
          <w:sz w:val="18"/>
          <w:szCs w:val="18"/>
        </w:rPr>
        <w:t>租赁收</w:t>
      </w:r>
      <w:proofErr w:type="gramEnd"/>
      <w:r w:rsidRPr="002B59B9">
        <w:rPr>
          <w:rFonts w:cs="Times New Roman" w:hint="eastAsia"/>
          <w:sz w:val="18"/>
          <w:szCs w:val="18"/>
        </w:rPr>
        <w:t>款额按照租赁内含利率折现的现值之和）进行初始计量，并按照固定的周期性利率计算确认租赁期内的利息收入。本公司取得的未纳入租赁投资净额计量的可变租赁付款额在实际发生时计入当期损益。</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③</w:t>
      </w:r>
      <w:r w:rsidRPr="002B59B9">
        <w:rPr>
          <w:rFonts w:cs="Times New Roman"/>
          <w:sz w:val="18"/>
          <w:szCs w:val="18"/>
        </w:rPr>
        <w:t xml:space="preserve"> </w:t>
      </w:r>
      <w:r w:rsidRPr="002B59B9">
        <w:rPr>
          <w:rFonts w:cs="Times New Roman" w:hint="eastAsia"/>
          <w:sz w:val="18"/>
          <w:szCs w:val="18"/>
        </w:rPr>
        <w:t>租赁变更</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经营租赁发生变更的，本公司自变更生效日起将其作为一项新租赁进行会计处理，与变更前租赁有关的预收或应收</w:t>
      </w:r>
      <w:proofErr w:type="gramStart"/>
      <w:r w:rsidRPr="002B59B9">
        <w:rPr>
          <w:rFonts w:cs="Times New Roman" w:hint="eastAsia"/>
          <w:sz w:val="18"/>
          <w:szCs w:val="18"/>
        </w:rPr>
        <w:t>租赁收</w:t>
      </w:r>
      <w:proofErr w:type="gramEnd"/>
      <w:r w:rsidRPr="002B59B9">
        <w:rPr>
          <w:rFonts w:cs="Times New Roman" w:hint="eastAsia"/>
          <w:sz w:val="18"/>
          <w:szCs w:val="18"/>
        </w:rPr>
        <w:t>款额视为新租赁的收款额。</w:t>
      </w:r>
      <w:r w:rsidRPr="002B59B9">
        <w:rPr>
          <w:rFonts w:cs="Times New Roman"/>
          <w:sz w:val="18"/>
          <w:szCs w:val="18"/>
        </w:rPr>
        <w:t xml:space="preserve">     </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融资租赁发生变更且同时符合下列条件的，本公司将该变更作为一项单独租赁进行会计处理：</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sz w:val="18"/>
          <w:szCs w:val="18"/>
        </w:rPr>
        <w:t xml:space="preserve">• </w:t>
      </w:r>
      <w:r w:rsidRPr="002B59B9">
        <w:rPr>
          <w:rFonts w:cs="Times New Roman" w:hint="eastAsia"/>
          <w:sz w:val="18"/>
          <w:szCs w:val="18"/>
        </w:rPr>
        <w:t>该变更通过增加一项或多项租赁资产的使用权而扩大了租赁范围；</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sz w:val="18"/>
          <w:szCs w:val="18"/>
        </w:rPr>
        <w:t xml:space="preserve">• </w:t>
      </w:r>
      <w:r w:rsidRPr="002B59B9">
        <w:rPr>
          <w:rFonts w:cs="Times New Roman" w:hint="eastAsia"/>
          <w:sz w:val="18"/>
          <w:szCs w:val="18"/>
        </w:rPr>
        <w:t>增加的对价与租赁范围扩大部分的单独价格按该合同情况调整后的金额相当。</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hint="eastAsia"/>
          <w:sz w:val="18"/>
          <w:szCs w:val="18"/>
        </w:rPr>
        <w:t>融资租赁的变更未作为一项单独租赁进行会计处理的，本公司</w:t>
      </w:r>
      <w:proofErr w:type="gramStart"/>
      <w:r w:rsidRPr="002B59B9">
        <w:rPr>
          <w:rFonts w:cs="Times New Roman" w:hint="eastAsia"/>
          <w:sz w:val="18"/>
          <w:szCs w:val="18"/>
        </w:rPr>
        <w:t>分下列</w:t>
      </w:r>
      <w:proofErr w:type="gramEnd"/>
      <w:r w:rsidRPr="002B59B9">
        <w:rPr>
          <w:rFonts w:cs="Times New Roman" w:hint="eastAsia"/>
          <w:sz w:val="18"/>
          <w:szCs w:val="18"/>
        </w:rPr>
        <w:t>情形对变更后的租赁进行处理：</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sz w:val="18"/>
          <w:szCs w:val="18"/>
        </w:rPr>
        <w:t xml:space="preserve">• </w:t>
      </w:r>
      <w:r w:rsidRPr="002B59B9">
        <w:rPr>
          <w:rFonts w:cs="Times New Roman" w:hint="eastAsia"/>
          <w:sz w:val="18"/>
          <w:szCs w:val="18"/>
        </w:rPr>
        <w:t>假如变更在租赁开始日生效，该租赁会被分类为经营租赁的，本公司自租赁变更生效日开始将其作为一项新租赁进行会计处理，并以租赁变更生效日前的租赁投资净额作为租赁资产的账面价值；</w:t>
      </w:r>
    </w:p>
    <w:p w:rsidR="008D4B2E" w:rsidRPr="002B59B9" w:rsidRDefault="008D4B2E" w:rsidP="00B818D2">
      <w:pPr>
        <w:pStyle w:val="a3"/>
        <w:spacing w:before="0" w:beforeAutospacing="0" w:after="0" w:afterAutospacing="0"/>
        <w:ind w:firstLine="400"/>
        <w:divId w:val="1512336598"/>
        <w:rPr>
          <w:rFonts w:cs="Times New Roman"/>
          <w:sz w:val="18"/>
          <w:szCs w:val="18"/>
        </w:rPr>
      </w:pPr>
      <w:r w:rsidRPr="002B59B9">
        <w:rPr>
          <w:rFonts w:cs="Times New Roman"/>
          <w:sz w:val="18"/>
          <w:szCs w:val="18"/>
        </w:rPr>
        <w:t xml:space="preserve">• </w:t>
      </w:r>
      <w:r w:rsidRPr="002B59B9">
        <w:rPr>
          <w:rFonts w:cs="Times New Roman" w:hint="eastAsia"/>
          <w:sz w:val="18"/>
          <w:szCs w:val="18"/>
        </w:rPr>
        <w:t>假如变更在租赁开始日生效，该租赁会被分类为融资租赁的，本公司按照《企业会计准则第</w:t>
      </w:r>
      <w:r w:rsidRPr="002B59B9">
        <w:rPr>
          <w:rFonts w:cs="Times New Roman"/>
          <w:sz w:val="18"/>
          <w:szCs w:val="18"/>
        </w:rPr>
        <w:t xml:space="preserve">22 </w:t>
      </w:r>
      <w:r w:rsidRPr="002B59B9">
        <w:rPr>
          <w:rFonts w:cs="Times New Roman" w:hint="eastAsia"/>
          <w:sz w:val="18"/>
          <w:szCs w:val="18"/>
        </w:rPr>
        <w:t>号</w:t>
      </w:r>
      <w:r w:rsidRPr="002B59B9">
        <w:rPr>
          <w:rFonts w:cs="Times New Roman"/>
          <w:sz w:val="18"/>
          <w:szCs w:val="18"/>
        </w:rPr>
        <w:t>——</w:t>
      </w:r>
      <w:r w:rsidRPr="002B59B9">
        <w:rPr>
          <w:rFonts w:cs="Times New Roman" w:hint="eastAsia"/>
          <w:sz w:val="18"/>
          <w:szCs w:val="18"/>
        </w:rPr>
        <w:t>金融工具确认和计量》关于修改或重新议定合同的规定进行会计处理。</w:t>
      </w:r>
    </w:p>
    <w:p w:rsidR="00BA0365" w:rsidRDefault="008D4B2E" w:rsidP="00B818D2">
      <w:pPr>
        <w:pStyle w:val="3"/>
        <w:spacing w:line="240" w:lineRule="auto"/>
        <w:jc w:val="left"/>
        <w:rPr>
          <w:rFonts w:ascii="宋体" w:hAnsi="宋体" w:cs="宋体"/>
          <w:b/>
          <w:bCs/>
        </w:rPr>
      </w:pPr>
      <w:bookmarkStart w:id="218" w:name="_Toc989106"/>
      <w:r>
        <w:rPr>
          <w:rFonts w:ascii="宋体" w:hAnsi="宋体" w:cs="宋体"/>
          <w:b/>
          <w:bCs/>
        </w:rPr>
        <w:t>39、其他重要的会计政策和会计估计</w:t>
      </w:r>
      <w:bookmarkEnd w:id="218"/>
    </w:p>
    <w:p w:rsidR="008D4B2E" w:rsidRPr="002B59B9" w:rsidRDefault="008D4B2E" w:rsidP="00B818D2">
      <w:pPr>
        <w:pStyle w:val="a3"/>
        <w:spacing w:before="0" w:beforeAutospacing="0" w:after="0" w:afterAutospacing="0"/>
        <w:ind w:firstLine="400"/>
        <w:jc w:val="both"/>
        <w:divId w:val="1777864355"/>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）终止经营</w:t>
      </w:r>
    </w:p>
    <w:p w:rsidR="008D4B2E" w:rsidRPr="002B59B9" w:rsidRDefault="008D4B2E" w:rsidP="00B818D2">
      <w:pPr>
        <w:pStyle w:val="a3"/>
        <w:spacing w:before="0" w:beforeAutospacing="0" w:after="0" w:afterAutospacing="0"/>
        <w:ind w:firstLine="400"/>
        <w:jc w:val="both"/>
        <w:divId w:val="1777864355"/>
        <w:rPr>
          <w:rFonts w:cs="Times New Roman"/>
          <w:sz w:val="18"/>
          <w:szCs w:val="18"/>
        </w:rPr>
      </w:pPr>
      <w:r w:rsidRPr="002B59B9">
        <w:rPr>
          <w:rFonts w:cs="Times New Roman" w:hint="eastAsia"/>
          <w:sz w:val="18"/>
          <w:szCs w:val="18"/>
        </w:rPr>
        <w:t>终止经营，是指满足下列条件之一的、能够单独区分且已被本公司处置或划分为持有待售类别的组成部分：①该组成部分代表一项独立的主要业务或一个单独的主要经营地区；②该组成部分是拟对一项独立的主要业务或一个单独的主要经营地区进行处置的一项相关联计划的一部分；③该组成部分是专为了转售而取得的子公司。</w:t>
      </w:r>
    </w:p>
    <w:p w:rsidR="008D4B2E" w:rsidRPr="002B59B9" w:rsidRDefault="008D4B2E" w:rsidP="00B818D2">
      <w:pPr>
        <w:pStyle w:val="a3"/>
        <w:spacing w:before="0" w:beforeAutospacing="0" w:after="0" w:afterAutospacing="0"/>
        <w:ind w:firstLine="400"/>
        <w:jc w:val="both"/>
        <w:divId w:val="1777864355"/>
        <w:rPr>
          <w:rFonts w:cs="Times New Roman"/>
          <w:sz w:val="18"/>
          <w:szCs w:val="18"/>
        </w:rPr>
      </w:pPr>
      <w:r w:rsidRPr="002B59B9">
        <w:rPr>
          <w:rFonts w:cs="Times New Roman" w:hint="eastAsia"/>
          <w:sz w:val="18"/>
          <w:szCs w:val="18"/>
        </w:rPr>
        <w:t>终止经营的会计处理方法参见本附注四、</w:t>
      </w:r>
      <w:r w:rsidRPr="002B59B9">
        <w:rPr>
          <w:rFonts w:cs="Times New Roman"/>
          <w:sz w:val="18"/>
          <w:szCs w:val="18"/>
        </w:rPr>
        <w:t>“</w:t>
      </w:r>
      <w:r w:rsidRPr="002B59B9">
        <w:rPr>
          <w:rFonts w:cs="Times New Roman" w:hint="eastAsia"/>
          <w:sz w:val="18"/>
          <w:szCs w:val="18"/>
        </w:rPr>
        <w:t>持有待售资产和处置组</w:t>
      </w:r>
      <w:r w:rsidRPr="002B59B9">
        <w:rPr>
          <w:rFonts w:cs="Times New Roman"/>
          <w:sz w:val="18"/>
          <w:szCs w:val="18"/>
        </w:rPr>
        <w:t>”</w:t>
      </w:r>
      <w:r w:rsidRPr="002B59B9">
        <w:rPr>
          <w:rFonts w:cs="Times New Roman" w:hint="eastAsia"/>
          <w:sz w:val="18"/>
          <w:szCs w:val="18"/>
        </w:rPr>
        <w:t>相关描述。</w:t>
      </w:r>
    </w:p>
    <w:p w:rsidR="008D4B2E" w:rsidRPr="002B59B9" w:rsidRDefault="008D4B2E" w:rsidP="00B818D2">
      <w:pPr>
        <w:pStyle w:val="a3"/>
        <w:spacing w:before="0" w:beforeAutospacing="0" w:after="0" w:afterAutospacing="0"/>
        <w:ind w:firstLine="400"/>
        <w:jc w:val="both"/>
        <w:divId w:val="1777864355"/>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）回购股份</w:t>
      </w:r>
    </w:p>
    <w:p w:rsidR="008D4B2E" w:rsidRPr="002B59B9" w:rsidRDefault="008D4B2E" w:rsidP="00B818D2">
      <w:pPr>
        <w:pStyle w:val="a3"/>
        <w:spacing w:before="0" w:beforeAutospacing="0" w:after="0" w:afterAutospacing="0"/>
        <w:ind w:firstLine="400"/>
        <w:divId w:val="1777864355"/>
        <w:rPr>
          <w:rFonts w:cs="Times New Roman"/>
          <w:sz w:val="18"/>
          <w:szCs w:val="18"/>
        </w:rPr>
      </w:pPr>
      <w:r w:rsidRPr="002B59B9">
        <w:rPr>
          <w:rFonts w:cs="Times New Roman" w:hint="eastAsia"/>
          <w:sz w:val="18"/>
          <w:szCs w:val="18"/>
        </w:rPr>
        <w:t>股份回购中支付的对价和交易费用减少股东权益，回购、转让或注销本公司股份时，不确认利得或损失。</w:t>
      </w:r>
    </w:p>
    <w:p w:rsidR="008D4B2E" w:rsidRPr="002B59B9" w:rsidRDefault="008D4B2E" w:rsidP="00B818D2">
      <w:pPr>
        <w:pStyle w:val="a3"/>
        <w:spacing w:before="0" w:beforeAutospacing="0" w:after="0" w:afterAutospacing="0"/>
        <w:ind w:firstLine="400"/>
        <w:divId w:val="1777864355"/>
        <w:rPr>
          <w:rFonts w:cs="Times New Roman"/>
          <w:sz w:val="18"/>
          <w:szCs w:val="18"/>
        </w:rPr>
      </w:pPr>
      <w:r w:rsidRPr="002B59B9">
        <w:rPr>
          <w:rFonts w:cs="Times New Roman" w:hint="eastAsia"/>
          <w:sz w:val="18"/>
          <w:szCs w:val="18"/>
        </w:rPr>
        <w:t>转让库存股，按实际收到的金额与库存股账面金额的差额，计入资本公积，资本公</w:t>
      </w:r>
      <w:proofErr w:type="gramStart"/>
      <w:r w:rsidRPr="002B59B9">
        <w:rPr>
          <w:rFonts w:cs="Times New Roman" w:hint="eastAsia"/>
          <w:sz w:val="18"/>
          <w:szCs w:val="18"/>
        </w:rPr>
        <w:t>积不足</w:t>
      </w:r>
      <w:proofErr w:type="gramEnd"/>
      <w:r w:rsidRPr="002B59B9">
        <w:rPr>
          <w:rFonts w:cs="Times New Roman" w:hint="eastAsia"/>
          <w:sz w:val="18"/>
          <w:szCs w:val="18"/>
        </w:rPr>
        <w:t>冲减的，冲减盈余公积和未分配利润。注销库存股，按股票面值和注销股数减少股本，按注销库存股的账面余额与面值的差额，冲减资本公积，资本公</w:t>
      </w:r>
      <w:proofErr w:type="gramStart"/>
      <w:r w:rsidRPr="002B59B9">
        <w:rPr>
          <w:rFonts w:cs="Times New Roman" w:hint="eastAsia"/>
          <w:sz w:val="18"/>
          <w:szCs w:val="18"/>
        </w:rPr>
        <w:t>积不足</w:t>
      </w:r>
      <w:proofErr w:type="gramEnd"/>
      <w:r w:rsidRPr="002B59B9">
        <w:rPr>
          <w:rFonts w:cs="Times New Roman" w:hint="eastAsia"/>
          <w:sz w:val="18"/>
          <w:szCs w:val="18"/>
        </w:rPr>
        <w:t>冲减的，冲减盈余公积和未分配利润。</w:t>
      </w:r>
    </w:p>
    <w:p w:rsidR="00BA0365" w:rsidRDefault="008D4B2E" w:rsidP="00B818D2">
      <w:pPr>
        <w:pStyle w:val="3"/>
        <w:spacing w:line="240" w:lineRule="auto"/>
        <w:jc w:val="left"/>
        <w:rPr>
          <w:rFonts w:ascii="宋体" w:hAnsi="宋体" w:cs="宋体"/>
          <w:b/>
          <w:bCs/>
        </w:rPr>
      </w:pPr>
      <w:bookmarkStart w:id="219" w:name="_Toc989107"/>
      <w:r>
        <w:rPr>
          <w:rFonts w:ascii="宋体" w:hAnsi="宋体" w:cs="宋体"/>
          <w:b/>
          <w:bCs/>
        </w:rPr>
        <w:t>40、重要会计政策和会计估计变更</w:t>
      </w:r>
      <w:bookmarkEnd w:id="219"/>
    </w:p>
    <w:p w:rsidR="00BA0365" w:rsidRDefault="008D4B2E" w:rsidP="00B818D2">
      <w:pPr>
        <w:keepNext/>
        <w:keepLines/>
        <w:spacing w:before="300" w:after="300"/>
        <w:outlineLvl w:val="3"/>
        <w:rPr>
          <w:rFonts w:ascii="宋体" w:eastAsia="宋体" w:hAnsi="宋体" w:cs="宋体"/>
          <w:b/>
          <w:bCs/>
          <w:sz w:val="18"/>
          <w:szCs w:val="18"/>
        </w:rPr>
      </w:pPr>
      <w:bookmarkStart w:id="220" w:name="_Toc989108"/>
      <w:r>
        <w:rPr>
          <w:rFonts w:ascii="宋体" w:eastAsia="宋体" w:hAnsi="宋体" w:cs="宋体"/>
          <w:b/>
          <w:bCs/>
          <w:sz w:val="18"/>
          <w:szCs w:val="18"/>
        </w:rPr>
        <w:t>（1） 重要会计政策变更</w:t>
      </w:r>
      <w:bookmarkEnd w:id="220"/>
    </w:p>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rsidP="00B818D2">
      <w:pPr>
        <w:keepNext/>
        <w:keepLines/>
        <w:spacing w:before="300" w:after="300"/>
        <w:outlineLvl w:val="3"/>
        <w:rPr>
          <w:rFonts w:ascii="宋体" w:eastAsia="宋体" w:hAnsi="宋体" w:cs="宋体"/>
          <w:b/>
          <w:bCs/>
          <w:sz w:val="18"/>
          <w:szCs w:val="18"/>
        </w:rPr>
      </w:pPr>
      <w:bookmarkStart w:id="221" w:name="_Toc989109"/>
      <w:r>
        <w:rPr>
          <w:rFonts w:ascii="宋体" w:eastAsia="宋体" w:hAnsi="宋体" w:cs="宋体"/>
          <w:b/>
          <w:bCs/>
          <w:sz w:val="18"/>
          <w:szCs w:val="18"/>
        </w:rPr>
        <w:t>（2） 重要会计估计变更</w:t>
      </w:r>
      <w:bookmarkEnd w:id="221"/>
    </w:p>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rsidP="00B818D2">
      <w:pPr>
        <w:keepNext/>
        <w:keepLines/>
        <w:spacing w:before="300" w:after="300"/>
        <w:outlineLvl w:val="3"/>
        <w:rPr>
          <w:rFonts w:ascii="宋体" w:eastAsia="宋体" w:hAnsi="宋体" w:cs="宋体"/>
          <w:b/>
          <w:bCs/>
          <w:sz w:val="18"/>
          <w:szCs w:val="18"/>
        </w:rPr>
      </w:pPr>
      <w:bookmarkStart w:id="222" w:name="_Toc989110"/>
      <w:r>
        <w:rPr>
          <w:rFonts w:ascii="宋体" w:eastAsia="宋体" w:hAnsi="宋体" w:cs="宋体"/>
          <w:b/>
          <w:bCs/>
          <w:sz w:val="18"/>
          <w:szCs w:val="18"/>
        </w:rPr>
        <w:lastRenderedPageBreak/>
        <w:t>（3） 2023年起首次执行新会计准则调整首次执行当年年初财务报表相关项目情况</w:t>
      </w:r>
      <w:bookmarkEnd w:id="222"/>
    </w:p>
    <w:p w:rsidR="00BA0365" w:rsidRDefault="008D4B2E" w:rsidP="00B818D2">
      <w:pPr>
        <w:spacing w:before="40" w:after="40"/>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rsidP="00B818D2">
      <w:pPr>
        <w:pStyle w:val="3"/>
        <w:spacing w:line="240" w:lineRule="auto"/>
        <w:jc w:val="left"/>
        <w:rPr>
          <w:rFonts w:ascii="宋体" w:hAnsi="宋体" w:cs="宋体"/>
          <w:b/>
          <w:bCs/>
        </w:rPr>
      </w:pPr>
      <w:bookmarkStart w:id="223" w:name="_Toc989111"/>
      <w:r>
        <w:rPr>
          <w:rFonts w:ascii="宋体" w:hAnsi="宋体" w:cs="宋体"/>
          <w:b/>
          <w:bCs/>
        </w:rPr>
        <w:t>41、重大会计判断和估计</w:t>
      </w:r>
      <w:bookmarkEnd w:id="223"/>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本公司在运用会计政策过程中，由于经营活动内在的不确定性，本公司需要对无法准确计量的报表项目的账面价值进行判断、估计和假设。这些判断、估计和假设是基于本公司管理</w:t>
      </w:r>
      <w:proofErr w:type="gramStart"/>
      <w:r w:rsidRPr="002B59B9">
        <w:rPr>
          <w:rFonts w:cs="Times New Roman" w:hint="eastAsia"/>
          <w:sz w:val="18"/>
          <w:szCs w:val="18"/>
        </w:rPr>
        <w:t>层过去</w:t>
      </w:r>
      <w:proofErr w:type="gramEnd"/>
      <w:r w:rsidRPr="002B59B9">
        <w:rPr>
          <w:rFonts w:cs="Times New Roman" w:hint="eastAsia"/>
          <w:sz w:val="18"/>
          <w:szCs w:val="18"/>
        </w:rPr>
        <w:t>的历史经验，并在考虑其他相关因素的基础上做出的。这些判断、估计和假设会影响收入、费用、资产和负债的报告金额以及资产负债表日或有负债的披露。然而，这些估计的不确定性所导致的实际结果可能与本公司管理</w:t>
      </w:r>
      <w:proofErr w:type="gramStart"/>
      <w:r w:rsidRPr="002B59B9">
        <w:rPr>
          <w:rFonts w:cs="Times New Roman" w:hint="eastAsia"/>
          <w:sz w:val="18"/>
          <w:szCs w:val="18"/>
        </w:rPr>
        <w:t>层当前</w:t>
      </w:r>
      <w:proofErr w:type="gramEnd"/>
      <w:r w:rsidRPr="002B59B9">
        <w:rPr>
          <w:rFonts w:cs="Times New Roman" w:hint="eastAsia"/>
          <w:sz w:val="18"/>
          <w:szCs w:val="18"/>
        </w:rPr>
        <w:t>的估计存在差异，进而造成对未来受影响的资产或负债的账面金额进行重大调整。</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本公司对前述判断、估计和假设在持续经营的基础上进行定期复核，会计估计的</w:t>
      </w:r>
      <w:proofErr w:type="gramStart"/>
      <w:r w:rsidRPr="002B59B9">
        <w:rPr>
          <w:rFonts w:cs="Times New Roman" w:hint="eastAsia"/>
          <w:sz w:val="18"/>
          <w:szCs w:val="18"/>
        </w:rPr>
        <w:t>变更仅</w:t>
      </w:r>
      <w:proofErr w:type="gramEnd"/>
      <w:r w:rsidRPr="002B59B9">
        <w:rPr>
          <w:rFonts w:cs="Times New Roman" w:hint="eastAsia"/>
          <w:sz w:val="18"/>
          <w:szCs w:val="18"/>
        </w:rPr>
        <w:t>影响变更当期的，其影响数在变更当期予以确认；既影响变更当期又影响未来期间的，其影响数在变更当期和未来期间予以确认。</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于资产负债表日，本公司需对财务报表项目金额进行判断、估计和假设的重要领域如下：</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1</w:t>
      </w:r>
      <w:r w:rsidRPr="002B59B9">
        <w:rPr>
          <w:rFonts w:cs="Times New Roman" w:hint="eastAsia"/>
          <w:sz w:val="18"/>
          <w:szCs w:val="18"/>
        </w:rPr>
        <w:t>）租赁的归类</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①租赁的识别</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集团在识别一项合同是否为租赁或包含租赁时，需要评估是否存在一项已识别资产，且客户控制了该资产在一定期间内的使用权。在评估时，需要考虑资产的性质、实质性替换权、以及客户是否有权获得因在该期间使用该资产所产生的几乎全部经济利益，并能够主导该资产的使用。</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②租赁的分类</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本集团作为出租人时，将租赁分类为经营租赁和融资租赁。在进行分类时，管理层需要对是否已将与租出资产所有权有关的全部风险和报酬实质上转移给承租人</w:t>
      </w:r>
      <w:proofErr w:type="gramStart"/>
      <w:r w:rsidRPr="002B59B9">
        <w:rPr>
          <w:rFonts w:cs="Times New Roman" w:hint="eastAsia"/>
          <w:sz w:val="18"/>
          <w:szCs w:val="18"/>
        </w:rPr>
        <w:t>作出</w:t>
      </w:r>
      <w:proofErr w:type="gramEnd"/>
      <w:r w:rsidRPr="002B59B9">
        <w:rPr>
          <w:rFonts w:cs="Times New Roman" w:hint="eastAsia"/>
          <w:sz w:val="18"/>
          <w:szCs w:val="18"/>
        </w:rPr>
        <w:t>分析和判断。</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③租赁负债</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集团作为承租人时，租赁负债按照租赁期开始日尚未支付的租赁付款额的现值进行初始计量。在计量租赁付款额的现值时，本集团对使用的折现率以及存在续租选择权或终止选择权的租赁合同的租赁期进行估计。在评估租赁期时，本集团综合考虑与本集团行使选择权带来经济利益的所有相关事实和情况，包括自租赁期开始日至选择权行使日之间的事实和情况的预期变化等。不同的判断及估计可能会影响租赁负债和使用权资产的确认，并将影响后续期间的损益。</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2</w:t>
      </w:r>
      <w:r w:rsidRPr="002B59B9">
        <w:rPr>
          <w:rFonts w:cs="Times New Roman" w:hint="eastAsia"/>
          <w:sz w:val="18"/>
          <w:szCs w:val="18"/>
        </w:rPr>
        <w:t>）金融资产减值</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采用预期信用损失模型对金融工具的减值进行评估，应用预期信用损失模型需要做出重大判断和估计，需考虑所有合理且有依据的信息，包括前瞻性信息。在做出该等判断和估计时，本公司根据历史数据结合经济政策、宏观经济指标、行业风险、外部市场环境、技术环境、客户情况的变化等因素推断债务人信用风险的预期变动。</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3</w:t>
      </w:r>
      <w:r w:rsidRPr="002B59B9">
        <w:rPr>
          <w:rFonts w:cs="Times New Roman" w:hint="eastAsia"/>
          <w:sz w:val="18"/>
          <w:szCs w:val="18"/>
        </w:rPr>
        <w:t>）存货跌价准备</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w:t>
      </w:r>
      <w:proofErr w:type="gramStart"/>
      <w:r w:rsidRPr="002B59B9">
        <w:rPr>
          <w:rFonts w:cs="Times New Roman" w:hint="eastAsia"/>
          <w:sz w:val="18"/>
          <w:szCs w:val="18"/>
        </w:rPr>
        <w:t>作出</w:t>
      </w:r>
      <w:proofErr w:type="gramEnd"/>
      <w:r w:rsidRPr="002B59B9">
        <w:rPr>
          <w:rFonts w:cs="Times New Roman" w:hint="eastAsia"/>
          <w:sz w:val="18"/>
          <w:szCs w:val="18"/>
        </w:rPr>
        <w:t>判断和估计。实际的结果与原先估计的差异将在估计被改变的期间影响存货的账面价值及存货跌价准备的计提或转回。</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4</w:t>
      </w:r>
      <w:r w:rsidRPr="002B59B9">
        <w:rPr>
          <w:rFonts w:cs="Times New Roman" w:hint="eastAsia"/>
          <w:sz w:val="18"/>
          <w:szCs w:val="18"/>
        </w:rPr>
        <w:t>）金融工具公允价值</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对不存在活跃交易市场的金融工具，本公司通过各种估值方法确定其公允价值。这些估值方法包括贴现现金流模型分析等。估值时本公司需对未来现金流量、信用风险、市场波动率和相关性等方面进行估计，并选择适当的折现率。这些相关假设具有不确定性，其变化会对金融工具的公允价值产生影响。权益工具投资或合同有公开报价的，本公司不将成本作为其公允价值的最佳估计。</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5</w:t>
      </w:r>
      <w:r w:rsidRPr="002B59B9">
        <w:rPr>
          <w:rFonts w:cs="Times New Roman" w:hint="eastAsia"/>
          <w:sz w:val="18"/>
          <w:szCs w:val="18"/>
        </w:rPr>
        <w:t>）长期资产减值准备</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lastRenderedPageBreak/>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当资产或资产组的账面价值高于可收回金额，即公允价值减去处置费用后的净额和预计未来现金流量的现值中的较高者，表明发生了减值。</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公允价值减去处置费用后的净额，参考公平交易中类似资产的销售协议价格或可观察到的市场价格，减去可直接归属于该资产处置的增量成本确定。</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在预计未来现金流量现值时，需要对该资产（或资产组）的产量、售价、相关经营成本以及计算现值时使用的折现率等</w:t>
      </w:r>
      <w:proofErr w:type="gramStart"/>
      <w:r w:rsidRPr="002B59B9">
        <w:rPr>
          <w:rFonts w:cs="Times New Roman" w:hint="eastAsia"/>
          <w:sz w:val="18"/>
          <w:szCs w:val="18"/>
        </w:rPr>
        <w:t>作出</w:t>
      </w:r>
      <w:proofErr w:type="gramEnd"/>
      <w:r w:rsidRPr="002B59B9">
        <w:rPr>
          <w:rFonts w:cs="Times New Roman" w:hint="eastAsia"/>
          <w:sz w:val="18"/>
          <w:szCs w:val="18"/>
        </w:rPr>
        <w:t>重大判断。本公司在估计可收回金额时会采用所有能够获得的相关资料，包括根据合理和</w:t>
      </w:r>
      <w:proofErr w:type="gramStart"/>
      <w:r w:rsidRPr="002B59B9">
        <w:rPr>
          <w:rFonts w:cs="Times New Roman" w:hint="eastAsia"/>
          <w:sz w:val="18"/>
          <w:szCs w:val="18"/>
        </w:rPr>
        <w:t>可</w:t>
      </w:r>
      <w:proofErr w:type="gramEnd"/>
      <w:r w:rsidRPr="002B59B9">
        <w:rPr>
          <w:rFonts w:cs="Times New Roman" w:hint="eastAsia"/>
          <w:sz w:val="18"/>
          <w:szCs w:val="18"/>
        </w:rPr>
        <w:t>支持的假设所</w:t>
      </w:r>
      <w:proofErr w:type="gramStart"/>
      <w:r w:rsidRPr="002B59B9">
        <w:rPr>
          <w:rFonts w:cs="Times New Roman" w:hint="eastAsia"/>
          <w:sz w:val="18"/>
          <w:szCs w:val="18"/>
        </w:rPr>
        <w:t>作出</w:t>
      </w:r>
      <w:proofErr w:type="gramEnd"/>
      <w:r w:rsidRPr="002B59B9">
        <w:rPr>
          <w:rFonts w:cs="Times New Roman" w:hint="eastAsia"/>
          <w:sz w:val="18"/>
          <w:szCs w:val="18"/>
        </w:rPr>
        <w:t>有关产量、售价和相关经营成本的预测。</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6</w:t>
      </w:r>
      <w:r w:rsidRPr="002B59B9">
        <w:rPr>
          <w:rFonts w:cs="Times New Roman" w:hint="eastAsia"/>
          <w:sz w:val="18"/>
          <w:szCs w:val="18"/>
        </w:rPr>
        <w:t>）折旧和摊销</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7</w:t>
      </w:r>
      <w:r w:rsidRPr="002B59B9">
        <w:rPr>
          <w:rFonts w:cs="Times New Roman" w:hint="eastAsia"/>
          <w:sz w:val="18"/>
          <w:szCs w:val="18"/>
        </w:rPr>
        <w:t>）递延所得税资产</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w:t>
      </w:r>
      <w:r w:rsidRPr="002B59B9">
        <w:rPr>
          <w:rFonts w:cs="Times New Roman"/>
          <w:sz w:val="18"/>
          <w:szCs w:val="18"/>
        </w:rPr>
        <w:t>8</w:t>
      </w:r>
      <w:r w:rsidRPr="002B59B9">
        <w:rPr>
          <w:rFonts w:cs="Times New Roman" w:hint="eastAsia"/>
          <w:sz w:val="18"/>
          <w:szCs w:val="18"/>
        </w:rPr>
        <w:t>）所得税</w:t>
      </w:r>
    </w:p>
    <w:p w:rsidR="008D4B2E" w:rsidRPr="002B59B9" w:rsidRDefault="008D4B2E" w:rsidP="00B818D2">
      <w:pPr>
        <w:pStyle w:val="a3"/>
        <w:spacing w:before="0" w:beforeAutospacing="0" w:after="0" w:afterAutospacing="0"/>
        <w:ind w:firstLine="400"/>
        <w:jc w:val="both"/>
        <w:divId w:val="473523013"/>
        <w:rPr>
          <w:rFonts w:cs="Times New Roman"/>
          <w:sz w:val="18"/>
          <w:szCs w:val="18"/>
        </w:rPr>
      </w:pPr>
      <w:r w:rsidRPr="002B59B9">
        <w:rPr>
          <w:rFonts w:cs="Times New Roman" w:hint="eastAsia"/>
          <w:sz w:val="18"/>
          <w:szCs w:val="18"/>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BA0365" w:rsidRDefault="008D4B2E" w:rsidP="00B818D2">
      <w:pPr>
        <w:pStyle w:val="2"/>
        <w:spacing w:before="300" w:after="300"/>
        <w:rPr>
          <w:rFonts w:ascii="宋体" w:eastAsia="宋体" w:hAnsi="宋体" w:cs="宋体"/>
          <w:b/>
          <w:bCs/>
          <w:sz w:val="24"/>
          <w:szCs w:val="24"/>
        </w:rPr>
      </w:pPr>
      <w:bookmarkStart w:id="224" w:name="_Toc989113"/>
      <w:r>
        <w:rPr>
          <w:rFonts w:ascii="宋体" w:eastAsia="宋体" w:hAnsi="宋体" w:cs="宋体"/>
          <w:b/>
          <w:bCs/>
          <w:sz w:val="24"/>
          <w:szCs w:val="24"/>
        </w:rPr>
        <w:t>六、税项</w:t>
      </w:r>
      <w:bookmarkEnd w:id="224"/>
    </w:p>
    <w:p w:rsidR="00BA0365" w:rsidRDefault="008D4B2E" w:rsidP="00B818D2">
      <w:pPr>
        <w:pStyle w:val="3"/>
        <w:spacing w:line="240" w:lineRule="auto"/>
        <w:jc w:val="left"/>
        <w:rPr>
          <w:rFonts w:ascii="宋体" w:hAnsi="宋体" w:cs="宋体"/>
          <w:b/>
          <w:bCs/>
        </w:rPr>
      </w:pPr>
      <w:bookmarkStart w:id="225" w:name="_Toc989114"/>
      <w:r>
        <w:rPr>
          <w:rFonts w:ascii="宋体" w:hAnsi="宋体" w:cs="宋体"/>
          <w:b/>
          <w:bCs/>
        </w:rPr>
        <w:t>1、主要税种及税率</w:t>
      </w:r>
      <w:bookmarkEnd w:id="225"/>
    </w:p>
    <w:tbl>
      <w:tblPr>
        <w:tblW w:w="9639" w:type="dxa"/>
        <w:tblLayout w:type="fixed"/>
        <w:tblLook w:val="04A0" w:firstRow="1" w:lastRow="0" w:firstColumn="1" w:lastColumn="0" w:noHBand="0" w:noVBand="1"/>
      </w:tblPr>
      <w:tblGrid>
        <w:gridCol w:w="1668"/>
        <w:gridCol w:w="4758"/>
        <w:gridCol w:w="3213"/>
      </w:tblGrid>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税种</w:t>
            </w:r>
          </w:p>
        </w:tc>
        <w:tc>
          <w:tcPr>
            <w:tcW w:w="475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计税依据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税率</w:t>
            </w:r>
          </w:p>
        </w:tc>
      </w:tr>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rPr>
                <w:rFonts w:ascii="宋体" w:eastAsia="宋体" w:hAnsi="宋体" w:cs="宋体"/>
                <w:sz w:val="18"/>
                <w:szCs w:val="18"/>
              </w:rPr>
            </w:pPr>
            <w:r>
              <w:rPr>
                <w:rFonts w:ascii="宋体" w:eastAsia="宋体" w:hAnsi="宋体" w:cs="宋体"/>
                <w:sz w:val="18"/>
                <w:szCs w:val="18"/>
              </w:rPr>
              <w:t>增值税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销售货物或提供应税劳务过程中产生的增值额、水费、资金利息收入、技术服务费收入、资产租赁收入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13</w:t>
            </w:r>
            <w:r w:rsidR="00570C59">
              <w:rPr>
                <w:rFonts w:ascii="宋体" w:eastAsia="宋体" w:hAnsi="宋体" w:cs="宋体" w:hint="eastAsia"/>
                <w:sz w:val="18"/>
                <w:szCs w:val="18"/>
              </w:rPr>
              <w:t>%</w:t>
            </w:r>
            <w:r>
              <w:rPr>
                <w:rFonts w:ascii="宋体" w:eastAsia="宋体" w:hAnsi="宋体" w:cs="宋体"/>
                <w:sz w:val="18"/>
                <w:szCs w:val="18"/>
              </w:rPr>
              <w:t>、9</w:t>
            </w:r>
            <w:r w:rsidR="00570C59">
              <w:rPr>
                <w:rFonts w:ascii="宋体" w:eastAsia="宋体" w:hAnsi="宋体" w:cs="宋体" w:hint="eastAsia"/>
                <w:sz w:val="18"/>
                <w:szCs w:val="18"/>
              </w:rPr>
              <w:t>%</w:t>
            </w:r>
            <w:r>
              <w:rPr>
                <w:rFonts w:ascii="宋体" w:eastAsia="宋体" w:hAnsi="宋体" w:cs="宋体"/>
                <w:sz w:val="18"/>
                <w:szCs w:val="18"/>
              </w:rPr>
              <w:t>、6</w:t>
            </w:r>
            <w:r w:rsidR="00570C59">
              <w:rPr>
                <w:rFonts w:ascii="宋体" w:eastAsia="宋体" w:hAnsi="宋体" w:cs="宋体" w:hint="eastAsia"/>
                <w:sz w:val="18"/>
                <w:szCs w:val="18"/>
              </w:rPr>
              <w:t>%</w:t>
            </w:r>
            <w:r>
              <w:rPr>
                <w:rFonts w:ascii="宋体" w:eastAsia="宋体" w:hAnsi="宋体" w:cs="宋体"/>
                <w:sz w:val="18"/>
                <w:szCs w:val="18"/>
              </w:rPr>
              <w:t>、5</w:t>
            </w:r>
            <w:r w:rsidR="00570C59">
              <w:rPr>
                <w:rFonts w:ascii="宋体" w:eastAsia="宋体" w:hAnsi="宋体" w:cs="宋体" w:hint="eastAsia"/>
                <w:sz w:val="18"/>
                <w:szCs w:val="18"/>
              </w:rPr>
              <w:t>%</w:t>
            </w:r>
          </w:p>
        </w:tc>
      </w:tr>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rPr>
                <w:rFonts w:ascii="宋体" w:eastAsia="宋体" w:hAnsi="宋体" w:cs="宋体"/>
                <w:sz w:val="18"/>
                <w:szCs w:val="18"/>
              </w:rPr>
            </w:pPr>
            <w:r>
              <w:rPr>
                <w:rFonts w:ascii="宋体" w:eastAsia="宋体" w:hAnsi="宋体" w:cs="宋体"/>
                <w:sz w:val="18"/>
                <w:szCs w:val="18"/>
              </w:rPr>
              <w:t>消费税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软件产品税负超过3%部分，即征即退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3</w:t>
            </w:r>
            <w:r w:rsidR="00570C59">
              <w:rPr>
                <w:rFonts w:ascii="宋体" w:eastAsia="宋体" w:hAnsi="宋体" w:cs="宋体" w:hint="eastAsia"/>
                <w:sz w:val="18"/>
                <w:szCs w:val="18"/>
              </w:rPr>
              <w:t>%</w:t>
            </w:r>
          </w:p>
        </w:tc>
      </w:tr>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rPr>
                <w:rFonts w:ascii="宋体" w:eastAsia="宋体" w:hAnsi="宋体" w:cs="宋体"/>
                <w:sz w:val="18"/>
                <w:szCs w:val="18"/>
              </w:rPr>
            </w:pPr>
            <w:r>
              <w:rPr>
                <w:rFonts w:ascii="宋体" w:eastAsia="宋体" w:hAnsi="宋体" w:cs="宋体"/>
                <w:sz w:val="18"/>
                <w:szCs w:val="18"/>
              </w:rPr>
              <w:t>城市维护建设税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应纳流转税额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7</w:t>
            </w:r>
            <w:r w:rsidR="00570C59">
              <w:rPr>
                <w:rFonts w:ascii="宋体" w:eastAsia="宋体" w:hAnsi="宋体" w:cs="宋体" w:hint="eastAsia"/>
                <w:sz w:val="18"/>
                <w:szCs w:val="18"/>
              </w:rPr>
              <w:t>%</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rPr>
                <w:rFonts w:ascii="宋体" w:eastAsia="宋体" w:hAnsi="宋体" w:cs="宋体"/>
                <w:sz w:val="18"/>
                <w:szCs w:val="18"/>
              </w:rPr>
            </w:pPr>
            <w:r>
              <w:rPr>
                <w:rFonts w:ascii="宋体" w:eastAsia="宋体" w:hAnsi="宋体" w:cs="宋体"/>
                <w:sz w:val="18"/>
                <w:szCs w:val="18"/>
              </w:rPr>
              <w:t>企业所得税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见附表</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教育费附加</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3</w:t>
            </w:r>
            <w:r w:rsidR="00570C59">
              <w:rPr>
                <w:rFonts w:ascii="宋体" w:eastAsia="宋体" w:hAnsi="宋体" w:cs="宋体" w:hint="eastAsia"/>
                <w:sz w:val="18"/>
                <w:szCs w:val="18"/>
              </w:rPr>
              <w:t>%</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地方教育费附加</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应纳税所得额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w:t>
            </w:r>
            <w:r w:rsidR="00570C59">
              <w:rPr>
                <w:rFonts w:ascii="宋体" w:eastAsia="宋体" w:hAnsi="宋体" w:cs="宋体" w:hint="eastAsia"/>
                <w:sz w:val="18"/>
                <w:szCs w:val="18"/>
              </w:rPr>
              <w:t>%</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房产税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从价计征的，计税依据为房产原值一次减除30%后的余值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1.2</w:t>
            </w:r>
            <w:r w:rsidR="00570C59">
              <w:rPr>
                <w:rFonts w:ascii="宋体" w:eastAsia="宋体" w:hAnsi="宋体" w:cs="宋体" w:hint="eastAsia"/>
                <w:sz w:val="18"/>
                <w:szCs w:val="18"/>
              </w:rPr>
              <w:t>%</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房产税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从租计征</w:t>
            </w:r>
            <w:proofErr w:type="gramEnd"/>
            <w:r>
              <w:rPr>
                <w:rFonts w:ascii="宋体" w:eastAsia="宋体" w:hAnsi="宋体" w:cs="宋体"/>
                <w:sz w:val="18"/>
                <w:szCs w:val="18"/>
              </w:rPr>
              <w:t>的，计税依据为租金收入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12</w:t>
            </w:r>
            <w:r w:rsidR="00570C59">
              <w:rPr>
                <w:rFonts w:ascii="宋体" w:eastAsia="宋体" w:hAnsi="宋体" w:cs="宋体" w:hint="eastAsia"/>
                <w:sz w:val="18"/>
                <w:szCs w:val="18"/>
              </w:rPr>
              <w:t>%</w:t>
            </w:r>
          </w:p>
        </w:tc>
      </w:tr>
      <w:tr w:rsidR="00157EA0" w:rsidTr="00614C8D">
        <w:trPr>
          <w:trHeight w:val="240"/>
        </w:trPr>
        <w:tc>
          <w:tcPr>
            <w:tcW w:w="1668" w:type="dxa"/>
            <w:tcBorders>
              <w:top w:val="single" w:sz="2" w:space="0" w:color="auto"/>
              <w:left w:val="single" w:sz="2" w:space="0" w:color="auto"/>
              <w:bottom w:val="single" w:sz="2" w:space="0" w:color="auto"/>
              <w:right w:val="single" w:sz="2" w:space="0" w:color="auto"/>
            </w:tcBorders>
            <w:shd w:val="pct15" w:color="auto" w:fill="auto"/>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土地使用税</w:t>
            </w:r>
          </w:p>
        </w:tc>
        <w:tc>
          <w:tcPr>
            <w:tcW w:w="4758"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土地面积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6-12元/平方米</w:t>
            </w:r>
          </w:p>
        </w:tc>
      </w:tr>
    </w:tbl>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存在不同企业所得税税率纳税主体的，披露情况说明</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纳税主体名称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B818D2">
            <w:pPr>
              <w:spacing w:before="40" w:after="40"/>
              <w:jc w:val="center"/>
              <w:rPr>
                <w:rFonts w:ascii="宋体" w:eastAsia="宋体" w:hAnsi="宋体" w:cs="宋体"/>
                <w:sz w:val="18"/>
                <w:szCs w:val="18"/>
              </w:rPr>
            </w:pPr>
            <w:r>
              <w:rPr>
                <w:rFonts w:ascii="宋体" w:eastAsia="宋体" w:hAnsi="宋体" w:cs="宋体"/>
                <w:sz w:val="18"/>
                <w:szCs w:val="18"/>
              </w:rPr>
              <w:t>所得税税率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软控股份有限公司</w:t>
            </w:r>
            <w:proofErr w:type="gramEnd"/>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青岛软控机电工程</w:t>
            </w:r>
            <w:proofErr w:type="gramEnd"/>
            <w:r>
              <w:rPr>
                <w:rFonts w:ascii="宋体" w:eastAsia="宋体" w:hAnsi="宋体" w:cs="宋体"/>
                <w:sz w:val="18"/>
                <w:szCs w:val="18"/>
              </w:rPr>
              <w:t>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青岛华控能源科技有限公司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lastRenderedPageBreak/>
              <w:t>北京敬业机械设备有限公司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抚顺伊科思新材料有限公司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软控联合</w:t>
            </w:r>
            <w:proofErr w:type="gramEnd"/>
            <w:r>
              <w:rPr>
                <w:rFonts w:ascii="宋体" w:eastAsia="宋体" w:hAnsi="宋体" w:cs="宋体"/>
                <w:sz w:val="18"/>
                <w:szCs w:val="18"/>
              </w:rPr>
              <w:t>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青岛海威物联科技有限公司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青岛软控海科科技有限公司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浙江软控智能科技</w:t>
            </w:r>
            <w:r w:rsidR="001542D9">
              <w:rPr>
                <w:rFonts w:ascii="宋体" w:eastAsia="宋体" w:hAnsi="宋体" w:cs="宋体"/>
                <w:sz w:val="18"/>
                <w:szCs w:val="18"/>
              </w:rPr>
              <w:t>股份</w:t>
            </w:r>
            <w:r>
              <w:rPr>
                <w:rFonts w:ascii="宋体" w:eastAsia="宋体" w:hAnsi="宋体" w:cs="宋体"/>
                <w:sz w:val="18"/>
                <w:szCs w:val="18"/>
              </w:rPr>
              <w:t>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15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大连软控机电有限公司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w:t>
            </w:r>
            <w:proofErr w:type="gramStart"/>
            <w:r>
              <w:rPr>
                <w:rFonts w:ascii="宋体" w:eastAsia="宋体" w:hAnsi="宋体" w:cs="宋体"/>
                <w:sz w:val="18"/>
                <w:szCs w:val="18"/>
              </w:rPr>
              <w:t>优享供应</w:t>
            </w:r>
            <w:proofErr w:type="gramEnd"/>
            <w:r>
              <w:rPr>
                <w:rFonts w:ascii="宋体" w:eastAsia="宋体" w:hAnsi="宋体" w:cs="宋体"/>
                <w:sz w:val="18"/>
                <w:szCs w:val="18"/>
              </w:rPr>
              <w:t>链有限公司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青岛软控计量检测技术有限公司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青岛朗控清洁能源有限公司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青岛睿诚新能源有限公司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青岛优尼斯通国际贸易有限公司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w:t>
            </w:r>
            <w:proofErr w:type="gramStart"/>
            <w:r>
              <w:rPr>
                <w:rFonts w:ascii="宋体" w:eastAsia="宋体" w:hAnsi="宋体" w:cs="宋体"/>
                <w:sz w:val="18"/>
                <w:szCs w:val="18"/>
              </w:rPr>
              <w:t>智控零碳服务</w:t>
            </w:r>
            <w:proofErr w:type="gramEnd"/>
            <w:r>
              <w:rPr>
                <w:rFonts w:ascii="宋体" w:eastAsia="宋体" w:hAnsi="宋体" w:cs="宋体"/>
                <w:sz w:val="18"/>
                <w:szCs w:val="18"/>
              </w:rPr>
              <w:t>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青岛云纵智能科技有限公司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天津敬业园机械设备有限公司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北京敬业机电科技发展有限公司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深圳市众源达</w:t>
            </w:r>
            <w:proofErr w:type="gramEnd"/>
            <w:r>
              <w:rPr>
                <w:rFonts w:ascii="宋体" w:eastAsia="宋体" w:hAnsi="宋体" w:cs="宋体"/>
                <w:sz w:val="18"/>
                <w:szCs w:val="18"/>
              </w:rPr>
              <w:t>智能装备有限公司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青岛科捷自动化设备有限公司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软控（诸暨）智能装备有限公司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软控欧洲</w:t>
            </w:r>
            <w:proofErr w:type="gramEnd"/>
            <w:r>
              <w:rPr>
                <w:rFonts w:ascii="宋体" w:eastAsia="宋体" w:hAnsi="宋体" w:cs="宋体"/>
                <w:sz w:val="18"/>
                <w:szCs w:val="18"/>
              </w:rPr>
              <w:t>研发和技术中心有限责任公司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21</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软控（美洲）有限公司及其子公司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28</w:t>
            </w:r>
            <w:r w:rsidR="00570C59">
              <w:rPr>
                <w:rFonts w:ascii="宋体" w:eastAsia="宋体" w:hAnsi="宋体" w:cs="宋体" w:hint="eastAsia"/>
                <w:sz w:val="18"/>
                <w:szCs w:val="18"/>
              </w:rPr>
              <w:t>%</w:t>
            </w:r>
            <w:r>
              <w:rPr>
                <w:rFonts w:ascii="宋体" w:eastAsia="宋体" w:hAnsi="宋体" w:cs="宋体"/>
                <w:sz w:val="18"/>
                <w:szCs w:val="18"/>
              </w:rPr>
              <w:t>-34</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艾优信</w:t>
            </w:r>
            <w:proofErr w:type="gramEnd"/>
            <w:r>
              <w:rPr>
                <w:rFonts w:ascii="宋体" w:eastAsia="宋体" w:hAnsi="宋体" w:cs="宋体"/>
                <w:sz w:val="18"/>
                <w:szCs w:val="18"/>
              </w:rPr>
              <w:t>（山东）计量检测有限公司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青岛华控赛联新能源科技有限公司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盘锦伊科思新材料有限公司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r>
              <w:rPr>
                <w:rFonts w:ascii="宋体" w:eastAsia="宋体" w:hAnsi="宋体" w:cs="宋体"/>
                <w:sz w:val="18"/>
                <w:szCs w:val="18"/>
              </w:rPr>
              <w:t>浙江叁晟信息科技有限公司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614C8D" w:rsidP="00B818D2">
            <w:pPr>
              <w:rPr>
                <w:rFonts w:ascii="宋体" w:eastAsia="宋体" w:hAnsi="宋体" w:cs="宋体"/>
                <w:sz w:val="18"/>
                <w:szCs w:val="18"/>
              </w:rPr>
            </w:pPr>
            <w:r w:rsidRPr="00614C8D">
              <w:rPr>
                <w:rFonts w:ascii="宋体" w:eastAsia="宋体" w:hAnsi="宋体" w:cs="宋体"/>
                <w:sz w:val="18"/>
                <w:szCs w:val="18"/>
              </w:rPr>
              <w:t>HKZQ ENERGY AND TECHNOLOGY CO., LTD.</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20</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菏泽智控能源</w:t>
            </w:r>
            <w:proofErr w:type="gramEnd"/>
            <w:r>
              <w:rPr>
                <w:rFonts w:ascii="宋体" w:eastAsia="宋体" w:hAnsi="宋体" w:cs="宋体"/>
                <w:sz w:val="18"/>
                <w:szCs w:val="18"/>
              </w:rPr>
              <w:t>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rPr>
                <w:rFonts w:ascii="宋体" w:eastAsia="宋体" w:hAnsi="宋体" w:cs="宋体"/>
                <w:sz w:val="18"/>
                <w:szCs w:val="18"/>
              </w:rPr>
            </w:pPr>
            <w:proofErr w:type="gramStart"/>
            <w:r>
              <w:rPr>
                <w:rFonts w:ascii="宋体" w:eastAsia="宋体" w:hAnsi="宋体" w:cs="宋体"/>
                <w:sz w:val="18"/>
                <w:szCs w:val="18"/>
              </w:rPr>
              <w:t>德州智控新能源</w:t>
            </w:r>
            <w:proofErr w:type="gramEnd"/>
            <w:r>
              <w:rPr>
                <w:rFonts w:ascii="宋体" w:eastAsia="宋体" w:hAnsi="宋体" w:cs="宋体"/>
                <w:sz w:val="18"/>
                <w:szCs w:val="18"/>
              </w:rPr>
              <w:t>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rsidP="00B818D2">
            <w:pPr>
              <w:jc w:val="right"/>
              <w:rPr>
                <w:rFonts w:ascii="宋体" w:eastAsia="宋体" w:hAnsi="宋体" w:cs="宋体"/>
                <w:sz w:val="18"/>
                <w:szCs w:val="18"/>
              </w:rPr>
            </w:pPr>
            <w:r>
              <w:rPr>
                <w:rFonts w:ascii="宋体" w:eastAsia="宋体" w:hAnsi="宋体" w:cs="宋体"/>
                <w:sz w:val="18"/>
                <w:szCs w:val="18"/>
              </w:rPr>
              <w:t>25</w:t>
            </w:r>
            <w:r w:rsidR="00570C59">
              <w:rPr>
                <w:rFonts w:ascii="宋体" w:eastAsia="宋体" w:hAnsi="宋体" w:cs="宋体" w:hint="eastAsia"/>
                <w:sz w:val="18"/>
                <w:szCs w:val="18"/>
              </w:rPr>
              <w:t>%</w:t>
            </w:r>
          </w:p>
        </w:tc>
      </w:tr>
    </w:tbl>
    <w:p w:rsidR="00BA0365" w:rsidRDefault="008D4B2E" w:rsidP="00B818D2">
      <w:pPr>
        <w:pStyle w:val="3"/>
        <w:spacing w:line="240" w:lineRule="auto"/>
        <w:jc w:val="left"/>
        <w:rPr>
          <w:rFonts w:ascii="宋体" w:hAnsi="宋体" w:cs="宋体"/>
          <w:b/>
          <w:bCs/>
        </w:rPr>
      </w:pPr>
      <w:bookmarkStart w:id="226" w:name="_Toc989115"/>
      <w:r>
        <w:rPr>
          <w:rFonts w:ascii="宋体" w:hAnsi="宋体" w:cs="宋体"/>
          <w:b/>
          <w:bCs/>
        </w:rPr>
        <w:t>2、税收优惠</w:t>
      </w:r>
      <w:bookmarkEnd w:id="226"/>
    </w:p>
    <w:p w:rsidR="008D4B2E" w:rsidRDefault="008D4B2E" w:rsidP="00B818D2">
      <w:pPr>
        <w:pStyle w:val="a3"/>
        <w:spacing w:before="0" w:beforeAutospacing="0" w:after="0" w:afterAutospacing="0"/>
        <w:ind w:firstLine="402"/>
        <w:jc w:val="both"/>
        <w:divId w:val="87897787"/>
        <w:rPr>
          <w:rFonts w:ascii="Arial" w:hAnsi="Arial" w:cs="Arial"/>
          <w:sz w:val="20"/>
          <w:szCs w:val="20"/>
        </w:rPr>
      </w:pPr>
      <w:r>
        <w:rPr>
          <w:rStyle w:val="a4"/>
          <w:rFonts w:cs="Arial" w:hint="eastAsia"/>
          <w:sz w:val="20"/>
          <w:szCs w:val="20"/>
        </w:rPr>
        <w:t>（</w:t>
      </w:r>
      <w:r>
        <w:rPr>
          <w:rStyle w:val="a4"/>
          <w:rFonts w:ascii="Arial" w:hAnsi="Arial" w:cs="Arial"/>
          <w:sz w:val="20"/>
          <w:szCs w:val="20"/>
        </w:rPr>
        <w:t>1</w:t>
      </w:r>
      <w:r>
        <w:rPr>
          <w:rStyle w:val="a4"/>
          <w:rFonts w:cs="Arial" w:hint="eastAsia"/>
          <w:sz w:val="20"/>
          <w:szCs w:val="20"/>
        </w:rPr>
        <w:t>）增值税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①出口货物实行</w:t>
      </w:r>
      <w:r w:rsidRPr="002B59B9">
        <w:rPr>
          <w:rFonts w:cs="Times New Roman"/>
          <w:sz w:val="18"/>
          <w:szCs w:val="18"/>
        </w:rPr>
        <w:t>“</w:t>
      </w:r>
      <w:r w:rsidRPr="002B59B9">
        <w:rPr>
          <w:rFonts w:cs="Times New Roman" w:hint="eastAsia"/>
          <w:sz w:val="18"/>
          <w:szCs w:val="18"/>
        </w:rPr>
        <w:t>免、抵、退</w:t>
      </w:r>
      <w:r w:rsidRPr="002B59B9">
        <w:rPr>
          <w:rFonts w:cs="Times New Roman"/>
          <w:sz w:val="18"/>
          <w:szCs w:val="18"/>
        </w:rPr>
        <w:t>”</w:t>
      </w:r>
      <w:r w:rsidRPr="002B59B9">
        <w:rPr>
          <w:rFonts w:cs="Times New Roman" w:hint="eastAsia"/>
          <w:sz w:val="18"/>
          <w:szCs w:val="18"/>
        </w:rPr>
        <w:t>税政策，退税率分别为</w:t>
      </w:r>
      <w:r w:rsidRPr="002B59B9">
        <w:rPr>
          <w:rFonts w:cs="Times New Roman"/>
          <w:sz w:val="18"/>
          <w:szCs w:val="18"/>
        </w:rPr>
        <w:t>5%</w:t>
      </w:r>
      <w:r w:rsidRPr="002B59B9">
        <w:rPr>
          <w:rFonts w:cs="Times New Roman" w:hint="eastAsia"/>
          <w:sz w:val="18"/>
          <w:szCs w:val="18"/>
        </w:rPr>
        <w:t>、</w:t>
      </w:r>
      <w:r w:rsidRPr="002B59B9">
        <w:rPr>
          <w:rFonts w:cs="Times New Roman"/>
          <w:sz w:val="18"/>
          <w:szCs w:val="18"/>
        </w:rPr>
        <w:t>9%</w:t>
      </w:r>
      <w:r w:rsidRPr="002B59B9">
        <w:rPr>
          <w:rFonts w:cs="Times New Roman" w:hint="eastAsia"/>
          <w:sz w:val="18"/>
          <w:szCs w:val="18"/>
        </w:rPr>
        <w:t>、</w:t>
      </w:r>
      <w:r w:rsidRPr="002B59B9">
        <w:rPr>
          <w:rFonts w:cs="Times New Roman"/>
          <w:sz w:val="18"/>
          <w:szCs w:val="18"/>
        </w:rPr>
        <w:t>13%</w:t>
      </w:r>
      <w:r w:rsidRPr="002B59B9">
        <w:rPr>
          <w:rFonts w:cs="Times New Roman" w:hint="eastAsia"/>
          <w:sz w:val="18"/>
          <w:szCs w:val="18"/>
        </w:rPr>
        <w:t>。</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②根据财政部、国家税务总局和海关总署财税</w:t>
      </w:r>
      <w:r w:rsidRPr="002B59B9">
        <w:rPr>
          <w:rFonts w:cs="Times New Roman"/>
          <w:sz w:val="18"/>
          <w:szCs w:val="18"/>
        </w:rPr>
        <w:t>[2000]25</w:t>
      </w:r>
      <w:r w:rsidRPr="002B59B9">
        <w:rPr>
          <w:rFonts w:cs="Times New Roman" w:hint="eastAsia"/>
          <w:sz w:val="18"/>
          <w:szCs w:val="18"/>
        </w:rPr>
        <w:t>号文，自</w:t>
      </w:r>
      <w:r w:rsidRPr="002B59B9">
        <w:rPr>
          <w:rFonts w:cs="Times New Roman"/>
          <w:sz w:val="18"/>
          <w:szCs w:val="18"/>
        </w:rPr>
        <w:t>2000</w:t>
      </w:r>
      <w:r w:rsidRPr="002B59B9">
        <w:rPr>
          <w:rFonts w:cs="Times New Roman" w:hint="eastAsia"/>
          <w:sz w:val="18"/>
          <w:szCs w:val="18"/>
        </w:rPr>
        <w:t>年</w:t>
      </w:r>
      <w:r w:rsidRPr="002B59B9">
        <w:rPr>
          <w:rFonts w:cs="Times New Roman"/>
          <w:sz w:val="18"/>
          <w:szCs w:val="18"/>
        </w:rPr>
        <w:t>6</w:t>
      </w:r>
      <w:r w:rsidRPr="002B59B9">
        <w:rPr>
          <w:rFonts w:cs="Times New Roman" w:hint="eastAsia"/>
          <w:sz w:val="18"/>
          <w:szCs w:val="18"/>
        </w:rPr>
        <w:t>月</w:t>
      </w:r>
      <w:r w:rsidRPr="002B59B9">
        <w:rPr>
          <w:rFonts w:cs="Times New Roman"/>
          <w:sz w:val="18"/>
          <w:szCs w:val="18"/>
        </w:rPr>
        <w:t>24</w:t>
      </w:r>
      <w:r w:rsidRPr="002B59B9">
        <w:rPr>
          <w:rFonts w:cs="Times New Roman" w:hint="eastAsia"/>
          <w:sz w:val="18"/>
          <w:szCs w:val="18"/>
        </w:rPr>
        <w:t>日起至</w:t>
      </w:r>
      <w:r w:rsidRPr="002B59B9">
        <w:rPr>
          <w:rFonts w:cs="Times New Roman"/>
          <w:sz w:val="18"/>
          <w:szCs w:val="18"/>
        </w:rPr>
        <w:t>2010</w:t>
      </w:r>
      <w:r w:rsidRPr="002B59B9">
        <w:rPr>
          <w:rFonts w:cs="Times New Roman" w:hint="eastAsia"/>
          <w:sz w:val="18"/>
          <w:szCs w:val="18"/>
        </w:rPr>
        <w:t>年底以前，公司按软件企业享受软件产品收入增值税超过</w:t>
      </w:r>
      <w:r w:rsidRPr="002B59B9">
        <w:rPr>
          <w:rFonts w:cs="Times New Roman"/>
          <w:sz w:val="18"/>
          <w:szCs w:val="18"/>
        </w:rPr>
        <w:t>3%</w:t>
      </w:r>
      <w:r w:rsidRPr="002B59B9">
        <w:rPr>
          <w:rFonts w:cs="Times New Roman" w:hint="eastAsia"/>
          <w:sz w:val="18"/>
          <w:szCs w:val="18"/>
        </w:rPr>
        <w:t>部分实行即征即退的优惠政策。</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根据国务院《国务院关于印发进一步鼓励软件产业和集成电路产业发展若干政策的通知》（国发</w:t>
      </w:r>
      <w:r w:rsidRPr="002B59B9">
        <w:rPr>
          <w:rFonts w:cs="Times New Roman"/>
          <w:sz w:val="18"/>
          <w:szCs w:val="18"/>
        </w:rPr>
        <w:t>2011</w:t>
      </w:r>
      <w:r w:rsidRPr="002B59B9">
        <w:rPr>
          <w:rFonts w:cs="Times New Roman" w:hint="eastAsia"/>
          <w:sz w:val="18"/>
          <w:szCs w:val="18"/>
        </w:rPr>
        <w:t>（</w:t>
      </w:r>
      <w:r w:rsidRPr="002B59B9">
        <w:rPr>
          <w:rFonts w:cs="Times New Roman"/>
          <w:sz w:val="18"/>
          <w:szCs w:val="18"/>
        </w:rPr>
        <w:t>4</w:t>
      </w:r>
      <w:r w:rsidRPr="002B59B9">
        <w:rPr>
          <w:rFonts w:cs="Times New Roman" w:hint="eastAsia"/>
          <w:sz w:val="18"/>
          <w:szCs w:val="18"/>
        </w:rPr>
        <w:t>）号）文件规定，继续实施软件增值税优惠政策。</w:t>
      </w:r>
    </w:p>
    <w:p w:rsidR="008D4B2E" w:rsidRDefault="008D4B2E" w:rsidP="00B818D2">
      <w:pPr>
        <w:pStyle w:val="a3"/>
        <w:spacing w:before="0" w:beforeAutospacing="0" w:after="0" w:afterAutospacing="0"/>
        <w:ind w:firstLine="402"/>
        <w:jc w:val="both"/>
        <w:divId w:val="87897787"/>
        <w:rPr>
          <w:rFonts w:ascii="Arial" w:hAnsi="Arial" w:cs="Arial"/>
          <w:sz w:val="20"/>
          <w:szCs w:val="20"/>
        </w:rPr>
      </w:pPr>
      <w:r>
        <w:rPr>
          <w:rStyle w:val="a4"/>
          <w:rFonts w:cs="Arial" w:hint="eastAsia"/>
          <w:sz w:val="20"/>
          <w:szCs w:val="20"/>
        </w:rPr>
        <w:t>（</w:t>
      </w:r>
      <w:r>
        <w:rPr>
          <w:rStyle w:val="a4"/>
          <w:rFonts w:ascii="Arial" w:hAnsi="Arial" w:cs="Arial"/>
          <w:sz w:val="20"/>
          <w:szCs w:val="20"/>
        </w:rPr>
        <w:t>2</w:t>
      </w:r>
      <w:r>
        <w:rPr>
          <w:rStyle w:val="a4"/>
          <w:rFonts w:cs="Arial" w:hint="eastAsia"/>
          <w:sz w:val="20"/>
          <w:szCs w:val="20"/>
        </w:rPr>
        <w:t>）所得税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①软</w:t>
      </w:r>
      <w:proofErr w:type="gramStart"/>
      <w:r w:rsidRPr="002B59B9">
        <w:rPr>
          <w:rFonts w:cs="Times New Roman" w:hint="eastAsia"/>
          <w:sz w:val="18"/>
          <w:szCs w:val="18"/>
        </w:rPr>
        <w:t>控股份于</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9</w:t>
      </w:r>
      <w:r w:rsidRPr="002B59B9">
        <w:rPr>
          <w:rFonts w:cs="Times New Roman" w:hint="eastAsia"/>
          <w:sz w:val="18"/>
          <w:szCs w:val="18"/>
        </w:rPr>
        <w:t>日</w:t>
      </w:r>
      <w:proofErr w:type="gramEnd"/>
      <w:r w:rsidRPr="002B59B9">
        <w:rPr>
          <w:rFonts w:cs="Times New Roman" w:hint="eastAsia"/>
          <w:sz w:val="18"/>
          <w:szCs w:val="18"/>
        </w:rPr>
        <w:t>取得青岛市科学技术局、青岛市财政局、国家税务总局青岛市税务局颁发的编号为</w:t>
      </w:r>
      <w:r w:rsidRPr="002B59B9">
        <w:rPr>
          <w:rFonts w:cs="Times New Roman"/>
          <w:sz w:val="18"/>
          <w:szCs w:val="18"/>
        </w:rPr>
        <w:t>GR202337100619</w:t>
      </w:r>
      <w:r w:rsidRPr="002B59B9">
        <w:rPr>
          <w:rFonts w:cs="Times New Roman" w:hint="eastAsia"/>
          <w:sz w:val="18"/>
          <w:szCs w:val="18"/>
        </w:rPr>
        <w:t>的《高新技术企业证书》，有效期为三年。根据《中华人民共和国企业所得税法》及高新技术企业税收优惠的相关规定，公司</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-2025</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②子公司</w:t>
      </w:r>
      <w:proofErr w:type="gramStart"/>
      <w:r w:rsidRPr="002B59B9">
        <w:rPr>
          <w:rFonts w:cs="Times New Roman" w:hint="eastAsia"/>
          <w:sz w:val="18"/>
          <w:szCs w:val="18"/>
        </w:rPr>
        <w:t>青岛软控机电工程</w:t>
      </w:r>
      <w:proofErr w:type="gramEnd"/>
      <w:r w:rsidRPr="002B59B9">
        <w:rPr>
          <w:rFonts w:cs="Times New Roman" w:hint="eastAsia"/>
          <w:sz w:val="18"/>
          <w:szCs w:val="18"/>
        </w:rPr>
        <w:t>有限公司于</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12</w:t>
      </w:r>
      <w:r w:rsidRPr="002B59B9">
        <w:rPr>
          <w:rFonts w:cs="Times New Roman" w:hint="eastAsia"/>
          <w:sz w:val="18"/>
          <w:szCs w:val="18"/>
        </w:rPr>
        <w:t>月</w:t>
      </w:r>
      <w:r w:rsidRPr="002B59B9">
        <w:rPr>
          <w:rFonts w:cs="Times New Roman"/>
          <w:sz w:val="18"/>
          <w:szCs w:val="18"/>
        </w:rPr>
        <w:t>14</w:t>
      </w:r>
      <w:r w:rsidRPr="002B59B9">
        <w:rPr>
          <w:rFonts w:cs="Times New Roman" w:hint="eastAsia"/>
          <w:sz w:val="18"/>
          <w:szCs w:val="18"/>
        </w:rPr>
        <w:t>日取得青岛市科学技术局、青岛市财政局、国家税务总局青岛市税务局颁发的编号为</w:t>
      </w:r>
      <w:r w:rsidRPr="002B59B9">
        <w:rPr>
          <w:rFonts w:cs="Times New Roman"/>
          <w:sz w:val="18"/>
          <w:szCs w:val="18"/>
        </w:rPr>
        <w:t>GR202237100073</w:t>
      </w:r>
      <w:r w:rsidRPr="002B59B9">
        <w:rPr>
          <w:rFonts w:cs="Times New Roman" w:hint="eastAsia"/>
          <w:sz w:val="18"/>
          <w:szCs w:val="18"/>
        </w:rPr>
        <w:t>的</w:t>
      </w:r>
      <w:r w:rsidRPr="002B59B9">
        <w:rPr>
          <w:rFonts w:cs="Times New Roman"/>
          <w:sz w:val="18"/>
          <w:szCs w:val="18"/>
        </w:rPr>
        <w:t xml:space="preserve"> </w:t>
      </w:r>
      <w:r w:rsidRPr="002B59B9">
        <w:rPr>
          <w:rFonts w:cs="Times New Roman" w:hint="eastAsia"/>
          <w:sz w:val="18"/>
          <w:szCs w:val="18"/>
        </w:rPr>
        <w:t>《高新技术企业证书》，有效期为三年。根据《中华人民共和国企业所得税法》及高新技术企业税收优惠的相关规定，该公司</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-2024</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③子公司青岛华控能源科技有限公司于</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12</w:t>
      </w:r>
      <w:r w:rsidRPr="002B59B9">
        <w:rPr>
          <w:rFonts w:cs="Times New Roman" w:hint="eastAsia"/>
          <w:sz w:val="18"/>
          <w:szCs w:val="18"/>
        </w:rPr>
        <w:t>月</w:t>
      </w:r>
      <w:r w:rsidRPr="002B59B9">
        <w:rPr>
          <w:rFonts w:cs="Times New Roman"/>
          <w:sz w:val="18"/>
          <w:szCs w:val="18"/>
        </w:rPr>
        <w:t>14</w:t>
      </w:r>
      <w:r w:rsidRPr="002B59B9">
        <w:rPr>
          <w:rFonts w:cs="Times New Roman" w:hint="eastAsia"/>
          <w:sz w:val="18"/>
          <w:szCs w:val="18"/>
        </w:rPr>
        <w:t>日取得青岛市科学技术局、青岛市财政局、国家税务总局青岛市税务局颁发的编号为</w:t>
      </w:r>
      <w:r w:rsidRPr="002B59B9">
        <w:rPr>
          <w:rFonts w:cs="Times New Roman"/>
          <w:sz w:val="18"/>
          <w:szCs w:val="18"/>
        </w:rPr>
        <w:t>GR202237100704</w:t>
      </w:r>
      <w:r w:rsidRPr="002B59B9">
        <w:rPr>
          <w:rFonts w:cs="Times New Roman" w:hint="eastAsia"/>
          <w:sz w:val="18"/>
          <w:szCs w:val="18"/>
        </w:rPr>
        <w:t>的</w:t>
      </w:r>
      <w:r w:rsidRPr="002B59B9">
        <w:rPr>
          <w:rFonts w:cs="Times New Roman"/>
          <w:sz w:val="18"/>
          <w:szCs w:val="18"/>
        </w:rPr>
        <w:t xml:space="preserve"> </w:t>
      </w:r>
      <w:r w:rsidRPr="002B59B9">
        <w:rPr>
          <w:rFonts w:cs="Times New Roman" w:hint="eastAsia"/>
          <w:sz w:val="18"/>
          <w:szCs w:val="18"/>
        </w:rPr>
        <w:t>《高新技术企业证书》，有效期为三年。根据《中华人民共和国企业所得税法》及高新技术企业税收优惠的相关规定，该公司</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-2024</w:t>
      </w:r>
      <w:r w:rsidRPr="002B59B9">
        <w:rPr>
          <w:rFonts w:cs="Times New Roman" w:hint="eastAsia"/>
          <w:sz w:val="18"/>
          <w:szCs w:val="18"/>
        </w:rPr>
        <w:t>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④子公司北京敬业机械设备有限公司于</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30</w:t>
      </w:r>
      <w:r w:rsidRPr="002B59B9">
        <w:rPr>
          <w:rFonts w:cs="Times New Roman" w:hint="eastAsia"/>
          <w:sz w:val="18"/>
          <w:szCs w:val="18"/>
        </w:rPr>
        <w:t>日取得北京市科学技术委员会、北京市财政局、国家税务总局北京市税务局颁发的编号为</w:t>
      </w:r>
      <w:r w:rsidRPr="002B59B9">
        <w:rPr>
          <w:rFonts w:cs="Times New Roman"/>
          <w:sz w:val="18"/>
          <w:szCs w:val="18"/>
        </w:rPr>
        <w:t>GR202311005319</w:t>
      </w:r>
      <w:r w:rsidRPr="002B59B9">
        <w:rPr>
          <w:rFonts w:cs="Times New Roman" w:hint="eastAsia"/>
          <w:sz w:val="18"/>
          <w:szCs w:val="18"/>
        </w:rPr>
        <w:t>的</w:t>
      </w:r>
      <w:r w:rsidRPr="002B59B9">
        <w:rPr>
          <w:rFonts w:cs="Times New Roman"/>
          <w:sz w:val="18"/>
          <w:szCs w:val="18"/>
        </w:rPr>
        <w:t xml:space="preserve"> </w:t>
      </w:r>
      <w:r w:rsidRPr="002B59B9">
        <w:rPr>
          <w:rFonts w:cs="Times New Roman" w:hint="eastAsia"/>
          <w:sz w:val="18"/>
          <w:szCs w:val="18"/>
        </w:rPr>
        <w:t>《高新技术企业证书》，有效期为三年。根据《中华人民共和国企业所得税法》及高新技术企业税收优惠的相关规定，该公司</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-2025</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lastRenderedPageBreak/>
        <w:t>⑤子公司抚顺伊科思新材料有限公司于</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4</w:t>
      </w:r>
      <w:r w:rsidRPr="002B59B9">
        <w:rPr>
          <w:rFonts w:cs="Times New Roman" w:hint="eastAsia"/>
          <w:sz w:val="18"/>
          <w:szCs w:val="18"/>
        </w:rPr>
        <w:t>日通过了高新技术企业认定复审，取得辽宁省科学技术厅、辽宁省财政厅、国家税务局辽宁省税务局联合颁发的编号为</w:t>
      </w:r>
      <w:r w:rsidRPr="002B59B9">
        <w:rPr>
          <w:rFonts w:cs="Times New Roman"/>
          <w:sz w:val="18"/>
          <w:szCs w:val="18"/>
        </w:rPr>
        <w:t>GR202221000170</w:t>
      </w:r>
      <w:r w:rsidRPr="002B59B9">
        <w:rPr>
          <w:rFonts w:cs="Times New Roman" w:hint="eastAsia"/>
          <w:sz w:val="18"/>
          <w:szCs w:val="18"/>
        </w:rPr>
        <w:t>的《高新技术企业证书》，有效期为</w:t>
      </w:r>
      <w:r w:rsidRPr="002B59B9">
        <w:rPr>
          <w:rFonts w:cs="Times New Roman"/>
          <w:sz w:val="18"/>
          <w:szCs w:val="18"/>
        </w:rPr>
        <w:t>3</w:t>
      </w:r>
      <w:r w:rsidRPr="002B59B9">
        <w:rPr>
          <w:rFonts w:cs="Times New Roman" w:hint="eastAsia"/>
          <w:sz w:val="18"/>
          <w:szCs w:val="18"/>
        </w:rPr>
        <w:t>年。根据《中华人民共和国企业所得税法》及高新技术企业税收优惠的相关规定，该公司</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-2024</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⑥子公司</w:t>
      </w:r>
      <w:proofErr w:type="gramStart"/>
      <w:r w:rsidRPr="002B59B9">
        <w:rPr>
          <w:rFonts w:cs="Times New Roman" w:hint="eastAsia"/>
          <w:sz w:val="18"/>
          <w:szCs w:val="18"/>
        </w:rPr>
        <w:t>软控联合</w:t>
      </w:r>
      <w:proofErr w:type="gramEnd"/>
      <w:r w:rsidRPr="002B59B9">
        <w:rPr>
          <w:rFonts w:cs="Times New Roman" w:hint="eastAsia"/>
          <w:sz w:val="18"/>
          <w:szCs w:val="18"/>
        </w:rPr>
        <w:t>科技有限公司于</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29</w:t>
      </w:r>
      <w:r w:rsidRPr="002B59B9">
        <w:rPr>
          <w:rFonts w:cs="Times New Roman" w:hint="eastAsia"/>
          <w:sz w:val="18"/>
          <w:szCs w:val="18"/>
        </w:rPr>
        <w:t>日通过了高新技术企业认定，取得山东省科学技术厅、山东省财政厅、国家税务总局山东省税务局联合颁发的编号为</w:t>
      </w:r>
      <w:r w:rsidRPr="002B59B9">
        <w:rPr>
          <w:rFonts w:cs="Times New Roman"/>
          <w:sz w:val="18"/>
          <w:szCs w:val="18"/>
        </w:rPr>
        <w:t>GR202337003593</w:t>
      </w:r>
      <w:r w:rsidRPr="002B59B9">
        <w:rPr>
          <w:rFonts w:cs="Times New Roman" w:hint="eastAsia"/>
          <w:sz w:val="18"/>
          <w:szCs w:val="18"/>
        </w:rPr>
        <w:t>的《高新技术企业证书》，有效期为</w:t>
      </w:r>
      <w:r w:rsidRPr="002B59B9">
        <w:rPr>
          <w:rFonts w:cs="Times New Roman"/>
          <w:sz w:val="18"/>
          <w:szCs w:val="18"/>
        </w:rPr>
        <w:t>3</w:t>
      </w:r>
      <w:r w:rsidRPr="002B59B9">
        <w:rPr>
          <w:rFonts w:cs="Times New Roman" w:hint="eastAsia"/>
          <w:sz w:val="18"/>
          <w:szCs w:val="18"/>
        </w:rPr>
        <w:t>年。根据《中华人民共和国企业所得税法》及高新技术企业税收优惠的相关规定，该公司</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-2025</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⑦子公司青岛海威物联科技有限公司于</w:t>
      </w:r>
      <w:r w:rsidRPr="002B59B9">
        <w:rPr>
          <w:rFonts w:cs="Times New Roman"/>
          <w:sz w:val="18"/>
          <w:szCs w:val="18"/>
        </w:rPr>
        <w:t>2021</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4</w:t>
      </w:r>
      <w:r w:rsidRPr="002B59B9">
        <w:rPr>
          <w:rFonts w:cs="Times New Roman" w:hint="eastAsia"/>
          <w:sz w:val="18"/>
          <w:szCs w:val="18"/>
        </w:rPr>
        <w:t>日取得青岛市科学技术局、青岛市财政局、国家税务总局青岛市税务局颁发的编号为</w:t>
      </w:r>
      <w:r w:rsidRPr="002B59B9">
        <w:rPr>
          <w:rFonts w:cs="Times New Roman"/>
          <w:sz w:val="18"/>
          <w:szCs w:val="18"/>
        </w:rPr>
        <w:t>GR</w:t>
      </w:r>
      <w:bookmarkStart w:id="227" w:name="_Hlk107919231"/>
      <w:bookmarkEnd w:id="227"/>
      <w:r w:rsidRPr="002B59B9">
        <w:rPr>
          <w:rFonts w:cs="Times New Roman"/>
          <w:sz w:val="18"/>
          <w:szCs w:val="18"/>
        </w:rPr>
        <w:t>202137100929</w:t>
      </w:r>
      <w:r w:rsidRPr="002B59B9">
        <w:rPr>
          <w:rFonts w:cs="Times New Roman" w:hint="eastAsia"/>
          <w:sz w:val="18"/>
          <w:szCs w:val="18"/>
        </w:rPr>
        <w:t>的《高新技术企业证书》，有效期为三年。根据《中华人民共和国企业所得税法》及高新技术企业税收优惠的相关规定，公司</w:t>
      </w:r>
      <w:r w:rsidRPr="002B59B9">
        <w:rPr>
          <w:rFonts w:cs="Times New Roman"/>
          <w:sz w:val="18"/>
          <w:szCs w:val="18"/>
        </w:rPr>
        <w:t>2021</w:t>
      </w:r>
      <w:r w:rsidRPr="002B59B9">
        <w:rPr>
          <w:rFonts w:cs="Times New Roman" w:hint="eastAsia"/>
          <w:sz w:val="18"/>
          <w:szCs w:val="18"/>
        </w:rPr>
        <w:t>年</w:t>
      </w:r>
      <w:r w:rsidRPr="002B59B9">
        <w:rPr>
          <w:rFonts w:cs="Times New Roman"/>
          <w:sz w:val="18"/>
          <w:szCs w:val="18"/>
        </w:rPr>
        <w:t>-2023</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⑧子公司青岛软控海科科技有限公司于</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12</w:t>
      </w:r>
      <w:r w:rsidRPr="002B59B9">
        <w:rPr>
          <w:rFonts w:cs="Times New Roman" w:hint="eastAsia"/>
          <w:sz w:val="18"/>
          <w:szCs w:val="18"/>
        </w:rPr>
        <w:t>月</w:t>
      </w:r>
      <w:r w:rsidRPr="002B59B9">
        <w:rPr>
          <w:rFonts w:cs="Times New Roman"/>
          <w:sz w:val="18"/>
          <w:szCs w:val="18"/>
        </w:rPr>
        <w:t>14</w:t>
      </w:r>
      <w:r w:rsidRPr="002B59B9">
        <w:rPr>
          <w:rFonts w:cs="Times New Roman" w:hint="eastAsia"/>
          <w:sz w:val="18"/>
          <w:szCs w:val="18"/>
        </w:rPr>
        <w:t>日取得青岛市科学技术局、青岛市财政局、国家税务总局青岛市税务局颁发的编号为</w:t>
      </w:r>
      <w:r w:rsidRPr="002B59B9">
        <w:rPr>
          <w:rFonts w:cs="Times New Roman"/>
          <w:sz w:val="18"/>
          <w:szCs w:val="18"/>
        </w:rPr>
        <w:t>GR202237101503</w:t>
      </w:r>
      <w:r w:rsidRPr="002B59B9">
        <w:rPr>
          <w:rFonts w:cs="Times New Roman" w:hint="eastAsia"/>
          <w:sz w:val="18"/>
          <w:szCs w:val="18"/>
        </w:rPr>
        <w:t>的《高新技术企业证书》，有效期为三年。根据《中华人民共和国企业所得税法》及高新技术企业税收优惠的相关规定，公司</w:t>
      </w:r>
      <w:r w:rsidRPr="002B59B9">
        <w:rPr>
          <w:rFonts w:cs="Times New Roman"/>
          <w:sz w:val="18"/>
          <w:szCs w:val="18"/>
        </w:rPr>
        <w:t>2022</w:t>
      </w:r>
      <w:r w:rsidRPr="002B59B9">
        <w:rPr>
          <w:rFonts w:cs="Times New Roman" w:hint="eastAsia"/>
          <w:sz w:val="18"/>
          <w:szCs w:val="18"/>
        </w:rPr>
        <w:t>年</w:t>
      </w:r>
      <w:r w:rsidRPr="002B59B9">
        <w:rPr>
          <w:rFonts w:cs="Times New Roman"/>
          <w:sz w:val="18"/>
          <w:szCs w:val="18"/>
        </w:rPr>
        <w:t>-2024</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Pr="002B59B9"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⑨子公司浙江软控智能科技股份有限公司于</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12</w:t>
      </w:r>
      <w:r w:rsidRPr="002B59B9">
        <w:rPr>
          <w:rFonts w:cs="Times New Roman" w:hint="eastAsia"/>
          <w:sz w:val="18"/>
          <w:szCs w:val="18"/>
        </w:rPr>
        <w:t>月</w:t>
      </w:r>
      <w:r w:rsidRPr="002B59B9">
        <w:rPr>
          <w:rFonts w:cs="Times New Roman"/>
          <w:sz w:val="18"/>
          <w:szCs w:val="18"/>
        </w:rPr>
        <w:t>8</w:t>
      </w:r>
      <w:r w:rsidRPr="002B59B9">
        <w:rPr>
          <w:rFonts w:cs="Times New Roman" w:hint="eastAsia"/>
          <w:sz w:val="18"/>
          <w:szCs w:val="18"/>
        </w:rPr>
        <w:t>日取得浙江省科学技术厅</w:t>
      </w:r>
      <w:r w:rsidRPr="002B59B9">
        <w:rPr>
          <w:rFonts w:cs="Times New Roman"/>
          <w:sz w:val="18"/>
          <w:szCs w:val="18"/>
        </w:rPr>
        <w:t xml:space="preserve"> </w:t>
      </w:r>
      <w:r w:rsidRPr="002B59B9">
        <w:rPr>
          <w:rFonts w:cs="Times New Roman" w:hint="eastAsia"/>
          <w:sz w:val="18"/>
          <w:szCs w:val="18"/>
        </w:rPr>
        <w:t>、浙江省财政厅、国家税务总局浙江省税务局颁发的编号为</w:t>
      </w:r>
      <w:r w:rsidRPr="002B59B9">
        <w:rPr>
          <w:rFonts w:cs="Times New Roman"/>
          <w:sz w:val="18"/>
          <w:szCs w:val="18"/>
        </w:rPr>
        <w:t>GR202333001292</w:t>
      </w:r>
      <w:r w:rsidRPr="002B59B9">
        <w:rPr>
          <w:rFonts w:cs="Times New Roman" w:hint="eastAsia"/>
          <w:sz w:val="18"/>
          <w:szCs w:val="18"/>
        </w:rPr>
        <w:t>的《高新技术企业证书》，有效期为三年。根据《中华人民共和国企业所得税法》及高新技术企业税收优惠的相关规定，公司</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-2025</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D4B2E" w:rsidRDefault="008D4B2E" w:rsidP="00B818D2">
      <w:pPr>
        <w:pStyle w:val="a3"/>
        <w:spacing w:before="0" w:beforeAutospacing="0" w:after="0" w:afterAutospacing="0"/>
        <w:ind w:firstLine="400"/>
        <w:jc w:val="both"/>
        <w:divId w:val="87897787"/>
        <w:rPr>
          <w:rFonts w:cs="Times New Roman"/>
          <w:sz w:val="18"/>
          <w:szCs w:val="18"/>
        </w:rPr>
      </w:pPr>
      <w:r w:rsidRPr="002B59B9">
        <w:rPr>
          <w:rFonts w:cs="Times New Roman" w:hint="eastAsia"/>
          <w:sz w:val="18"/>
          <w:szCs w:val="18"/>
        </w:rPr>
        <w:t>⑩子公司益</w:t>
      </w:r>
      <w:proofErr w:type="gramStart"/>
      <w:r w:rsidRPr="002B59B9">
        <w:rPr>
          <w:rFonts w:cs="Times New Roman" w:hint="eastAsia"/>
          <w:sz w:val="18"/>
          <w:szCs w:val="18"/>
        </w:rPr>
        <w:t>凯</w:t>
      </w:r>
      <w:proofErr w:type="gramEnd"/>
      <w:r w:rsidRPr="002B59B9">
        <w:rPr>
          <w:rFonts w:cs="Times New Roman" w:hint="eastAsia"/>
          <w:sz w:val="18"/>
          <w:szCs w:val="18"/>
        </w:rPr>
        <w:t>新材料有限公司于</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11</w:t>
      </w:r>
      <w:r w:rsidRPr="002B59B9">
        <w:rPr>
          <w:rFonts w:cs="Times New Roman" w:hint="eastAsia"/>
          <w:sz w:val="18"/>
          <w:szCs w:val="18"/>
        </w:rPr>
        <w:t>月</w:t>
      </w:r>
      <w:r w:rsidRPr="002B59B9">
        <w:rPr>
          <w:rFonts w:cs="Times New Roman"/>
          <w:sz w:val="18"/>
          <w:szCs w:val="18"/>
        </w:rPr>
        <w:t>29</w:t>
      </w:r>
      <w:r w:rsidRPr="002B59B9">
        <w:rPr>
          <w:rFonts w:cs="Times New Roman" w:hint="eastAsia"/>
          <w:sz w:val="18"/>
          <w:szCs w:val="18"/>
        </w:rPr>
        <w:t>日取得青岛市科学技术局、青岛市财政局、国家税务总局青岛市税务局颁发的编号为</w:t>
      </w:r>
      <w:r w:rsidRPr="002B59B9">
        <w:rPr>
          <w:rFonts w:cs="Times New Roman"/>
          <w:sz w:val="18"/>
          <w:szCs w:val="18"/>
        </w:rPr>
        <w:t>GR202337101826</w:t>
      </w:r>
      <w:r w:rsidRPr="002B59B9">
        <w:rPr>
          <w:rFonts w:cs="Times New Roman" w:hint="eastAsia"/>
          <w:sz w:val="18"/>
          <w:szCs w:val="18"/>
        </w:rPr>
        <w:t>的《高新技术企业证书》，有效期为三年。根据《中华人民共和国企业所得税法》及高新技术企业税收优惠的相关规定，公司</w:t>
      </w:r>
      <w:r w:rsidRPr="002B59B9">
        <w:rPr>
          <w:rFonts w:cs="Times New Roman"/>
          <w:sz w:val="18"/>
          <w:szCs w:val="18"/>
        </w:rPr>
        <w:t>2023</w:t>
      </w:r>
      <w:r w:rsidRPr="002B59B9">
        <w:rPr>
          <w:rFonts w:cs="Times New Roman" w:hint="eastAsia"/>
          <w:sz w:val="18"/>
          <w:szCs w:val="18"/>
        </w:rPr>
        <w:t>年</w:t>
      </w:r>
      <w:r w:rsidRPr="002B59B9">
        <w:rPr>
          <w:rFonts w:cs="Times New Roman"/>
          <w:sz w:val="18"/>
          <w:szCs w:val="18"/>
        </w:rPr>
        <w:t>-2025</w:t>
      </w:r>
      <w:r w:rsidRPr="002B59B9">
        <w:rPr>
          <w:rFonts w:cs="Times New Roman" w:hint="eastAsia"/>
          <w:sz w:val="18"/>
          <w:szCs w:val="18"/>
        </w:rPr>
        <w:t>年按</w:t>
      </w:r>
      <w:r w:rsidRPr="002B59B9">
        <w:rPr>
          <w:rFonts w:cs="Times New Roman"/>
          <w:sz w:val="18"/>
          <w:szCs w:val="18"/>
        </w:rPr>
        <w:t>15%</w:t>
      </w:r>
      <w:r w:rsidRPr="002B59B9">
        <w:rPr>
          <w:rFonts w:cs="Times New Roman" w:hint="eastAsia"/>
          <w:sz w:val="18"/>
          <w:szCs w:val="18"/>
        </w:rPr>
        <w:t>的税率缴纳企业所得税。</w:t>
      </w:r>
    </w:p>
    <w:p w:rsidR="00825C41" w:rsidRPr="002B59B9" w:rsidRDefault="00825C41" w:rsidP="00B818D2">
      <w:pPr>
        <w:pStyle w:val="a3"/>
        <w:spacing w:before="0" w:beforeAutospacing="0" w:after="0" w:afterAutospacing="0"/>
        <w:ind w:firstLine="400"/>
        <w:jc w:val="both"/>
        <w:divId w:val="87897787"/>
        <w:rPr>
          <w:rFonts w:cs="Times New Roman"/>
          <w:sz w:val="18"/>
          <w:szCs w:val="18"/>
        </w:rPr>
      </w:pPr>
      <w:r w:rsidRPr="00825C41">
        <w:rPr>
          <w:rFonts w:ascii="Cambria Math" w:hAnsi="Cambria Math" w:cs="Cambria Math"/>
          <w:sz w:val="18"/>
          <w:szCs w:val="18"/>
        </w:rPr>
        <w:t>⑪</w:t>
      </w:r>
      <w:r w:rsidRPr="00825C41">
        <w:rPr>
          <w:rFonts w:cs="Times New Roman" w:hint="eastAsia"/>
          <w:sz w:val="18"/>
          <w:szCs w:val="18"/>
        </w:rPr>
        <w:t>根据财政部、税务总局《关于进一步支持小微企业和个体工商户发展有关税费政策的公告》2023年第12号中规定，本集团符合小</w:t>
      </w:r>
      <w:proofErr w:type="gramStart"/>
      <w:r w:rsidRPr="00825C41">
        <w:rPr>
          <w:rFonts w:cs="Times New Roman" w:hint="eastAsia"/>
          <w:sz w:val="18"/>
          <w:szCs w:val="18"/>
        </w:rPr>
        <w:t>微企业</w:t>
      </w:r>
      <w:proofErr w:type="gramEnd"/>
      <w:r w:rsidRPr="00825C41">
        <w:rPr>
          <w:rFonts w:cs="Times New Roman" w:hint="eastAsia"/>
          <w:sz w:val="18"/>
          <w:szCs w:val="18"/>
        </w:rPr>
        <w:t>标准的下属子公司年应纳税</w:t>
      </w:r>
      <w:proofErr w:type="gramStart"/>
      <w:r w:rsidRPr="00825C41">
        <w:rPr>
          <w:rFonts w:cs="Times New Roman" w:hint="eastAsia"/>
          <w:sz w:val="18"/>
          <w:szCs w:val="18"/>
        </w:rPr>
        <w:t>所得额减按</w:t>
      </w:r>
      <w:proofErr w:type="gramEnd"/>
      <w:r w:rsidRPr="00825C41">
        <w:rPr>
          <w:rFonts w:cs="Times New Roman" w:hint="eastAsia"/>
          <w:sz w:val="18"/>
          <w:szCs w:val="18"/>
        </w:rPr>
        <w:t>25%计入应纳税所得额，按20%的税率缴纳企业所得税。 </w:t>
      </w:r>
    </w:p>
    <w:p w:rsidR="00BA0365" w:rsidRDefault="008D4B2E">
      <w:pPr>
        <w:pStyle w:val="2"/>
        <w:spacing w:before="300" w:after="300" w:line="320" w:lineRule="exact"/>
        <w:rPr>
          <w:rFonts w:ascii="宋体" w:eastAsia="宋体" w:hAnsi="宋体" w:cs="宋体"/>
          <w:b/>
          <w:bCs/>
          <w:sz w:val="24"/>
          <w:szCs w:val="24"/>
        </w:rPr>
      </w:pPr>
      <w:bookmarkStart w:id="228" w:name="_Toc989116"/>
      <w:r>
        <w:rPr>
          <w:rFonts w:ascii="宋体" w:eastAsia="宋体" w:hAnsi="宋体" w:cs="宋体"/>
          <w:b/>
          <w:bCs/>
          <w:sz w:val="24"/>
          <w:szCs w:val="24"/>
        </w:rPr>
        <w:t>七、合并财务报表项目注释</w:t>
      </w:r>
      <w:bookmarkEnd w:id="228"/>
    </w:p>
    <w:p w:rsidR="00BA0365" w:rsidRDefault="008D4B2E">
      <w:pPr>
        <w:pStyle w:val="3"/>
        <w:spacing w:line="280" w:lineRule="exact"/>
        <w:jc w:val="left"/>
        <w:rPr>
          <w:rFonts w:ascii="宋体" w:hAnsi="宋体" w:cs="宋体"/>
          <w:b/>
          <w:bCs/>
        </w:rPr>
      </w:pPr>
      <w:bookmarkStart w:id="229" w:name="_Toc989117"/>
      <w:r>
        <w:rPr>
          <w:rFonts w:ascii="宋体" w:hAnsi="宋体" w:cs="宋体"/>
          <w:b/>
          <w:bCs/>
        </w:rPr>
        <w:t>1、货币资金</w:t>
      </w:r>
      <w:bookmarkEnd w:id="22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库存现金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751,635.30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619,742.42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银行存款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1,653,016,136.48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1,710,845,570.73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1,301,880,100.77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1,037,684,094.06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存放财务公司款项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2,955,647,872.55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2,749,149,407.21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其中：存放在境外的款项总额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19,525,515.92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14,312,177.50</w:t>
            </w:r>
          </w:p>
        </w:tc>
      </w:tr>
    </w:tbl>
    <w:p w:rsidR="008D4B2E" w:rsidRDefault="008D4B2E">
      <w:pPr>
        <w:pStyle w:val="a3"/>
        <w:spacing w:before="0" w:beforeAutospacing="0" w:after="0" w:afterAutospacing="0" w:line="400" w:lineRule="atLeast"/>
        <w:ind w:firstLine="400"/>
        <w:jc w:val="both"/>
        <w:divId w:val="894049040"/>
        <w:rPr>
          <w:rFonts w:ascii="Arial" w:hAnsi="Arial" w:cs="Arial"/>
          <w:sz w:val="18"/>
          <w:szCs w:val="18"/>
        </w:rPr>
      </w:pPr>
      <w:r>
        <w:rPr>
          <w:rFonts w:cs="Arial" w:hint="eastAsia"/>
          <w:sz w:val="18"/>
          <w:szCs w:val="18"/>
        </w:rPr>
        <w:t>其他说明：其中因抵押、质押或冻结等对使用有限制，以及放在境外且资金汇回受到限制的货币资金明细如下：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254"/>
        <w:gridCol w:w="3117"/>
        <w:gridCol w:w="3250"/>
      </w:tblGrid>
      <w:tr w:rsidR="008D4B2E" w:rsidTr="00212B93">
        <w:trPr>
          <w:divId w:val="894049040"/>
          <w:trHeight w:val="356"/>
          <w:tblHeader/>
        </w:trPr>
        <w:tc>
          <w:tcPr>
            <w:tcW w:w="1691" w:type="pct"/>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项目</w:t>
            </w:r>
          </w:p>
        </w:tc>
        <w:tc>
          <w:tcPr>
            <w:tcW w:w="1620" w:type="pct"/>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期末余额</w:t>
            </w:r>
          </w:p>
        </w:tc>
        <w:tc>
          <w:tcPr>
            <w:tcW w:w="1689" w:type="pct"/>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上年年末余额</w:t>
            </w:r>
          </w:p>
        </w:tc>
      </w:tr>
      <w:tr w:rsidR="008D4B2E" w:rsidTr="00212B93">
        <w:trPr>
          <w:divId w:val="894049040"/>
          <w:trHeight w:val="360"/>
        </w:trPr>
        <w:tc>
          <w:tcPr>
            <w:tcW w:w="1691" w:type="pct"/>
            <w:shd w:val="clear" w:color="auto" w:fill="D3D3D3"/>
            <w:noWrap/>
            <w:tcMar>
              <w:top w:w="0" w:type="dxa"/>
              <w:left w:w="108" w:type="dxa"/>
              <w:bottom w:w="0" w:type="dxa"/>
              <w:right w:w="108" w:type="dxa"/>
            </w:tcMar>
            <w:vAlign w:val="bottom"/>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hint="eastAsia"/>
                <w:sz w:val="18"/>
                <w:szCs w:val="18"/>
              </w:rPr>
              <w:t>银行承兑汇票保证金</w:t>
            </w:r>
          </w:p>
        </w:tc>
        <w:tc>
          <w:tcPr>
            <w:tcW w:w="1620"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230,930,781.72</w:t>
            </w:r>
          </w:p>
        </w:tc>
        <w:tc>
          <w:tcPr>
            <w:tcW w:w="1689"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 216,349,308.66</w:t>
            </w:r>
          </w:p>
        </w:tc>
      </w:tr>
      <w:tr w:rsidR="008D4B2E" w:rsidTr="00212B93">
        <w:trPr>
          <w:divId w:val="894049040"/>
          <w:trHeight w:val="360"/>
        </w:trPr>
        <w:tc>
          <w:tcPr>
            <w:tcW w:w="1691" w:type="pct"/>
            <w:shd w:val="clear" w:color="auto" w:fill="D3D3D3"/>
            <w:noWrap/>
            <w:tcMar>
              <w:top w:w="0" w:type="dxa"/>
              <w:left w:w="108" w:type="dxa"/>
              <w:bottom w:w="0" w:type="dxa"/>
              <w:right w:w="108" w:type="dxa"/>
            </w:tcMar>
            <w:vAlign w:val="bottom"/>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hint="eastAsia"/>
                <w:sz w:val="18"/>
                <w:szCs w:val="18"/>
              </w:rPr>
              <w:t>信用证保证金</w:t>
            </w:r>
          </w:p>
        </w:tc>
        <w:tc>
          <w:tcPr>
            <w:tcW w:w="1620"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24,314,875.49</w:t>
            </w:r>
          </w:p>
        </w:tc>
        <w:tc>
          <w:tcPr>
            <w:tcW w:w="1689"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 24,440,652.03</w:t>
            </w:r>
          </w:p>
        </w:tc>
      </w:tr>
      <w:tr w:rsidR="008D4B2E" w:rsidTr="00212B93">
        <w:trPr>
          <w:divId w:val="894049040"/>
          <w:trHeight w:val="360"/>
        </w:trPr>
        <w:tc>
          <w:tcPr>
            <w:tcW w:w="1691" w:type="pct"/>
            <w:shd w:val="clear" w:color="auto" w:fill="D3D3D3"/>
            <w:noWrap/>
            <w:tcMar>
              <w:top w:w="0" w:type="dxa"/>
              <w:left w:w="108" w:type="dxa"/>
              <w:bottom w:w="0" w:type="dxa"/>
              <w:right w:w="108" w:type="dxa"/>
            </w:tcMar>
            <w:vAlign w:val="bottom"/>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hint="eastAsia"/>
                <w:sz w:val="18"/>
                <w:szCs w:val="18"/>
              </w:rPr>
              <w:t>其他保证金</w:t>
            </w:r>
          </w:p>
        </w:tc>
        <w:tc>
          <w:tcPr>
            <w:tcW w:w="1620"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1,046,105,679.78</w:t>
            </w:r>
          </w:p>
        </w:tc>
        <w:tc>
          <w:tcPr>
            <w:tcW w:w="1689"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 796,887,682.39</w:t>
            </w:r>
          </w:p>
        </w:tc>
      </w:tr>
      <w:tr w:rsidR="008D4B2E" w:rsidTr="00212B93">
        <w:trPr>
          <w:divId w:val="894049040"/>
          <w:trHeight w:val="360"/>
        </w:trPr>
        <w:tc>
          <w:tcPr>
            <w:tcW w:w="1691" w:type="pct"/>
            <w:shd w:val="clear" w:color="auto" w:fill="D3D3D3"/>
            <w:noWrap/>
            <w:tcMar>
              <w:top w:w="0" w:type="dxa"/>
              <w:left w:w="108" w:type="dxa"/>
              <w:bottom w:w="0" w:type="dxa"/>
              <w:right w:w="108" w:type="dxa"/>
            </w:tcMar>
            <w:vAlign w:val="bottom"/>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hint="eastAsia"/>
                <w:sz w:val="18"/>
                <w:szCs w:val="18"/>
              </w:rPr>
              <w:t>合计</w:t>
            </w:r>
          </w:p>
        </w:tc>
        <w:tc>
          <w:tcPr>
            <w:tcW w:w="1620"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bCs/>
                <w:sz w:val="18"/>
                <w:szCs w:val="18"/>
              </w:rPr>
              <w:t>1,301,351,336.99</w:t>
            </w:r>
          </w:p>
        </w:tc>
        <w:tc>
          <w:tcPr>
            <w:tcW w:w="1689" w:type="pct"/>
            <w:noWrap/>
            <w:tcMar>
              <w:top w:w="0" w:type="dxa"/>
              <w:left w:w="108" w:type="dxa"/>
              <w:bottom w:w="0" w:type="dxa"/>
              <w:right w:w="108" w:type="dxa"/>
            </w:tcMa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bCs/>
                <w:sz w:val="18"/>
                <w:szCs w:val="18"/>
              </w:rPr>
              <w:t>1,037,677,643.08</w:t>
            </w:r>
          </w:p>
        </w:tc>
      </w:tr>
    </w:tbl>
    <w:p w:rsidR="008D4B2E" w:rsidRDefault="008D4B2E">
      <w:pPr>
        <w:divId w:val="894049040"/>
      </w:pPr>
    </w:p>
    <w:p w:rsidR="00BA0365" w:rsidRDefault="008D4B2E">
      <w:pPr>
        <w:pStyle w:val="3"/>
        <w:spacing w:line="280" w:lineRule="exact"/>
        <w:jc w:val="left"/>
        <w:rPr>
          <w:rFonts w:ascii="宋体" w:hAnsi="宋体" w:cs="宋体"/>
          <w:b/>
          <w:bCs/>
        </w:rPr>
      </w:pPr>
      <w:bookmarkStart w:id="230" w:name="_Toc989118"/>
      <w:r>
        <w:rPr>
          <w:rFonts w:ascii="宋体" w:hAnsi="宋体" w:cs="宋体"/>
          <w:b/>
          <w:bCs/>
        </w:rPr>
        <w:lastRenderedPageBreak/>
        <w:t>2、交易性金融资产</w:t>
      </w:r>
      <w:bookmarkEnd w:id="23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06" w:type="dxa"/>
        <w:tblLayout w:type="fixed"/>
        <w:tblLook w:val="04A0" w:firstRow="1" w:lastRow="0" w:firstColumn="1" w:lastColumn="0" w:noHBand="0" w:noVBand="1"/>
      </w:tblPr>
      <w:tblGrid>
        <w:gridCol w:w="4219"/>
        <w:gridCol w:w="2835"/>
        <w:gridCol w:w="2552"/>
      </w:tblGrid>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8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以公允价值计量且其变动计入当期损益的金融资产</w:t>
            </w:r>
          </w:p>
        </w:tc>
        <w:tc>
          <w:tcPr>
            <w:tcW w:w="283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25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105,052,985.91</w:t>
            </w:r>
          </w:p>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28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权益工具投资</w:t>
            </w:r>
          </w:p>
        </w:tc>
        <w:tc>
          <w:tcPr>
            <w:tcW w:w="283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5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5,051,984.91</w:t>
            </w:r>
          </w:p>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283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25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100,001,001.00</w:t>
            </w:r>
          </w:p>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283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55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F87C44">
        <w:trPr>
          <w:trHeight w:val="240"/>
        </w:trPr>
        <w:tc>
          <w:tcPr>
            <w:tcW w:w="421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83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255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105,052,985.91</w:t>
            </w:r>
          </w:p>
        </w:tc>
      </w:tr>
    </w:tbl>
    <w:p w:rsidR="00BA0365" w:rsidRDefault="008D4B2E">
      <w:pPr>
        <w:pStyle w:val="3"/>
        <w:spacing w:line="280" w:lineRule="exact"/>
        <w:jc w:val="left"/>
        <w:rPr>
          <w:rFonts w:ascii="宋体" w:hAnsi="宋体" w:cs="宋体"/>
          <w:b/>
          <w:bCs/>
        </w:rPr>
      </w:pPr>
      <w:bookmarkStart w:id="231" w:name="_Toc989119"/>
      <w:r>
        <w:rPr>
          <w:rFonts w:ascii="宋体" w:hAnsi="宋体" w:cs="宋体"/>
          <w:b/>
          <w:bCs/>
        </w:rPr>
        <w:t>3、应收票据</w:t>
      </w:r>
      <w:bookmarkEnd w:id="231"/>
    </w:p>
    <w:p w:rsidR="00BA0365" w:rsidRDefault="008D4B2E">
      <w:pPr>
        <w:keepNext/>
        <w:keepLines/>
        <w:spacing w:before="300" w:after="300" w:line="280" w:lineRule="exact"/>
        <w:outlineLvl w:val="3"/>
        <w:rPr>
          <w:rFonts w:ascii="宋体" w:eastAsia="宋体" w:hAnsi="宋体" w:cs="宋体"/>
          <w:b/>
          <w:bCs/>
          <w:szCs w:val="21"/>
        </w:rPr>
      </w:pPr>
      <w:bookmarkStart w:id="232" w:name="_Toc989120"/>
      <w:r>
        <w:rPr>
          <w:rFonts w:ascii="宋体" w:eastAsia="宋体" w:hAnsi="宋体" w:cs="宋体"/>
          <w:b/>
          <w:bCs/>
          <w:szCs w:val="21"/>
        </w:rPr>
        <w:t>（1） 应收票据分类列示</w:t>
      </w:r>
      <w:bookmarkEnd w:id="23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865,932,946.75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259,302,775.43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商业承兑票据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3,454,300.00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2,555,085.58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减：坏账准备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-11,696,450.16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-7,288,266.96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857,690,796.59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254,569,594.05</w:t>
            </w:r>
          </w:p>
        </w:tc>
      </w:tr>
    </w:tbl>
    <w:p w:rsidR="00BA0365" w:rsidRDefault="008D4B2E">
      <w:pPr>
        <w:keepNext/>
        <w:keepLines/>
        <w:spacing w:before="300" w:after="300" w:line="280" w:lineRule="exact"/>
        <w:outlineLvl w:val="3"/>
        <w:rPr>
          <w:rFonts w:ascii="宋体" w:eastAsia="宋体" w:hAnsi="宋体" w:cs="宋体"/>
          <w:b/>
          <w:bCs/>
          <w:szCs w:val="21"/>
        </w:rPr>
      </w:pPr>
      <w:bookmarkStart w:id="233" w:name="_Toc989121"/>
      <w:r>
        <w:rPr>
          <w:rFonts w:ascii="宋体" w:eastAsia="宋体" w:hAnsi="宋体" w:cs="宋体"/>
          <w:b/>
          <w:bCs/>
          <w:szCs w:val="21"/>
        </w:rPr>
        <w:t>（2） 本期计提、收回或转回的坏账准备情况</w:t>
      </w:r>
      <w:bookmarkEnd w:id="233"/>
    </w:p>
    <w:p w:rsidR="00BA0365" w:rsidRDefault="008D4B2E">
      <w:pPr>
        <w:spacing w:before="100" w:line="240" w:lineRule="exact"/>
        <w:rPr>
          <w:rFonts w:ascii="宋体" w:eastAsia="宋体" w:hAnsi="宋体" w:cs="宋体"/>
          <w:sz w:val="18"/>
          <w:szCs w:val="18"/>
        </w:rPr>
      </w:pPr>
      <w:r>
        <w:rPr>
          <w:rFonts w:ascii="宋体" w:eastAsia="宋体" w:hAnsi="宋体" w:cs="宋体"/>
          <w:sz w:val="18"/>
          <w:szCs w:val="18"/>
        </w:rPr>
        <w:t>本期计提坏账准备情况：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51"/>
        <w:gridCol w:w="1843"/>
        <w:gridCol w:w="1559"/>
        <w:gridCol w:w="1276"/>
        <w:gridCol w:w="709"/>
        <w:gridCol w:w="708"/>
        <w:gridCol w:w="1593"/>
      </w:tblGrid>
      <w:tr w:rsidR="00157EA0" w:rsidTr="00F87C44">
        <w:trPr>
          <w:trHeight w:val="240"/>
        </w:trPr>
        <w:tc>
          <w:tcPr>
            <w:tcW w:w="19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84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252"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F87C44">
        <w:trPr>
          <w:trHeight w:val="240"/>
        </w:trPr>
        <w:tc>
          <w:tcPr>
            <w:tcW w:w="19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84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F87C44">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应收票据坏账准备</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7,288,266.96</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4,408,183.20</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11,696,450.16</w:t>
            </w:r>
          </w:p>
        </w:tc>
      </w:tr>
      <w:tr w:rsidR="00157EA0" w:rsidTr="00F87C44">
        <w:trPr>
          <w:trHeight w:val="240"/>
        </w:trPr>
        <w:tc>
          <w:tcPr>
            <w:tcW w:w="19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7,288,266.96</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4,408,183.20</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11,696,450.16</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其中本期坏账准备收回或转回金额重要的：</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234" w:name="_Toc989122"/>
      <w:r>
        <w:rPr>
          <w:rFonts w:ascii="宋体" w:eastAsia="宋体" w:hAnsi="宋体" w:cs="宋体"/>
          <w:b/>
          <w:bCs/>
          <w:szCs w:val="21"/>
        </w:rPr>
        <w:t>（3） 期末公司已质押的应收票据</w:t>
      </w:r>
      <w:bookmarkEnd w:id="23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proofErr w:type="gramStart"/>
            <w:r>
              <w:rPr>
                <w:rFonts w:ascii="宋体" w:eastAsia="宋体" w:hAnsi="宋体" w:cs="宋体"/>
                <w:sz w:val="18"/>
                <w:szCs w:val="18"/>
              </w:rPr>
              <w:t>期末已质</w:t>
            </w:r>
            <w:proofErr w:type="gramEnd"/>
            <w:r>
              <w:rPr>
                <w:rFonts w:ascii="宋体" w:eastAsia="宋体" w:hAnsi="宋体" w:cs="宋体"/>
                <w:sz w:val="18"/>
                <w:szCs w:val="18"/>
              </w:rPr>
              <w:t>押金额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455,321,827.13</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455,321,827.13</w:t>
            </w:r>
          </w:p>
        </w:tc>
      </w:tr>
    </w:tbl>
    <w:p w:rsidR="00BA0365" w:rsidRDefault="008D4B2E">
      <w:pPr>
        <w:keepNext/>
        <w:keepLines/>
        <w:spacing w:before="300" w:after="300" w:line="280" w:lineRule="exact"/>
        <w:outlineLvl w:val="3"/>
        <w:rPr>
          <w:rFonts w:ascii="宋体" w:eastAsia="宋体" w:hAnsi="宋体" w:cs="宋体"/>
          <w:b/>
          <w:bCs/>
          <w:szCs w:val="21"/>
        </w:rPr>
      </w:pPr>
      <w:bookmarkStart w:id="235" w:name="_Toc989123"/>
      <w:r>
        <w:rPr>
          <w:rFonts w:ascii="宋体" w:eastAsia="宋体" w:hAnsi="宋体" w:cs="宋体"/>
          <w:b/>
          <w:bCs/>
          <w:szCs w:val="21"/>
        </w:rPr>
        <w:t>（4） 期末公司已背书或贴现且在资产负债表日尚未到期的应收票据</w:t>
      </w:r>
      <w:bookmarkEnd w:id="23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期末终止确认金额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期末未终止确认金额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银行承兑票据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279,414,354.41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279,414,354.41</w:t>
            </w:r>
          </w:p>
        </w:tc>
      </w:tr>
    </w:tbl>
    <w:p w:rsidR="00BA0365" w:rsidRDefault="008D4B2E">
      <w:pPr>
        <w:pStyle w:val="3"/>
        <w:spacing w:line="280" w:lineRule="exact"/>
        <w:jc w:val="left"/>
        <w:rPr>
          <w:rFonts w:ascii="宋体" w:hAnsi="宋体" w:cs="宋体"/>
          <w:b/>
          <w:bCs/>
        </w:rPr>
      </w:pPr>
      <w:bookmarkStart w:id="236" w:name="_Toc989124"/>
      <w:r>
        <w:rPr>
          <w:rFonts w:ascii="宋体" w:hAnsi="宋体" w:cs="宋体"/>
          <w:b/>
          <w:bCs/>
        </w:rPr>
        <w:t>4、应收账款</w:t>
      </w:r>
      <w:bookmarkEnd w:id="236"/>
    </w:p>
    <w:p w:rsidR="00BA0365" w:rsidRDefault="008D4B2E">
      <w:pPr>
        <w:keepNext/>
        <w:keepLines/>
        <w:spacing w:before="300" w:after="300" w:line="280" w:lineRule="exact"/>
        <w:outlineLvl w:val="3"/>
        <w:rPr>
          <w:rFonts w:ascii="宋体" w:eastAsia="宋体" w:hAnsi="宋体" w:cs="宋体"/>
          <w:b/>
          <w:bCs/>
          <w:szCs w:val="21"/>
        </w:rPr>
      </w:pPr>
      <w:bookmarkStart w:id="237" w:name="_Toc989125"/>
      <w:r>
        <w:rPr>
          <w:rFonts w:ascii="宋体" w:eastAsia="宋体" w:hAnsi="宋体" w:cs="宋体"/>
          <w:b/>
          <w:bCs/>
          <w:szCs w:val="21"/>
        </w:rPr>
        <w:t xml:space="preserve">（1） </w:t>
      </w:r>
      <w:proofErr w:type="gramStart"/>
      <w:r>
        <w:rPr>
          <w:rFonts w:ascii="宋体" w:eastAsia="宋体" w:hAnsi="宋体" w:cs="宋体"/>
          <w:b/>
          <w:bCs/>
          <w:szCs w:val="21"/>
        </w:rPr>
        <w:t>按账龄</w:t>
      </w:r>
      <w:proofErr w:type="gramEnd"/>
      <w:r>
        <w:rPr>
          <w:rFonts w:ascii="宋体" w:eastAsia="宋体" w:hAnsi="宋体" w:cs="宋体"/>
          <w:b/>
          <w:bCs/>
          <w:szCs w:val="21"/>
        </w:rPr>
        <w:t>披露</w:t>
      </w:r>
      <w:bookmarkEnd w:id="237"/>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955,570,100.36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691,600,259.73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125,592,313.22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216,034,717.09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84,080,673.54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98,629,822.74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342,721,324.10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350,855,877.25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60,838,741.38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73,181,620.14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40,457,307.28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47,384,777.94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241,425,275.44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230,289,479.17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1,507,964,411.22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1,357,120,676.81</w:t>
            </w:r>
          </w:p>
        </w:tc>
      </w:tr>
    </w:tbl>
    <w:p w:rsidR="00BA0365" w:rsidRDefault="008D4B2E">
      <w:pPr>
        <w:keepNext/>
        <w:keepLines/>
        <w:spacing w:before="300" w:after="300" w:line="280" w:lineRule="exact"/>
        <w:outlineLvl w:val="3"/>
        <w:rPr>
          <w:rFonts w:ascii="宋体" w:eastAsia="宋体" w:hAnsi="宋体" w:cs="宋体"/>
          <w:b/>
          <w:bCs/>
          <w:szCs w:val="21"/>
        </w:rPr>
      </w:pPr>
      <w:bookmarkStart w:id="238" w:name="_Toc989126"/>
      <w:r>
        <w:rPr>
          <w:rFonts w:ascii="宋体" w:eastAsia="宋体" w:hAnsi="宋体" w:cs="宋体"/>
          <w:b/>
          <w:bCs/>
          <w:szCs w:val="21"/>
        </w:rPr>
        <w:t>（2） 按坏账计提方法分类披露</w:t>
      </w:r>
      <w:bookmarkEnd w:id="23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157EA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按单项计提坏账准备的应收账款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258,214,548.38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150,655,341.07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58.35%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107,559,207.31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221,454,659.98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164,596,706.85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74.33%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56,857,953.13</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1,249,749,862.84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82.88%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191,744,600.62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1,058,005,262.22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1,135,666,016.83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197,783,613.00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17.42%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937,882,403.83</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账</w:t>
            </w:r>
            <w:proofErr w:type="gramEnd"/>
            <w:r>
              <w:rPr>
                <w:rFonts w:ascii="宋体" w:eastAsia="宋体" w:hAnsi="宋体" w:cs="宋体"/>
                <w:sz w:val="18"/>
                <w:szCs w:val="18"/>
              </w:rPr>
              <w:t>龄组合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1,249,749,862.84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82.88%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191,744,600.62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15.34%</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1,058,005,262.22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1,135,666,016.83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197,783,613.00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17.42%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937,882,403.83</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1,507,964,411.22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342,399,941.69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1,165,564,469.53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1,357,120,676.81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362,380,319.85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994,740,356.96</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按单项计提坏账准备：</w:t>
      </w:r>
    </w:p>
    <w:p w:rsidR="00F87C44" w:rsidRDefault="00F87C44">
      <w:pPr>
        <w:spacing w:before="40" w:after="40" w:line="240" w:lineRule="exact"/>
        <w:jc w:val="right"/>
        <w:rPr>
          <w:rFonts w:ascii="宋体" w:eastAsia="宋体" w:hAnsi="宋体" w:cs="宋体"/>
          <w:sz w:val="18"/>
          <w:szCs w:val="18"/>
        </w:rPr>
      </w:pPr>
    </w:p>
    <w:p w:rsidR="00F87C44" w:rsidRDefault="00F87C44">
      <w:pPr>
        <w:spacing w:before="40" w:after="40" w:line="240" w:lineRule="exact"/>
        <w:jc w:val="right"/>
        <w:rPr>
          <w:rFonts w:ascii="宋体" w:eastAsia="宋体" w:hAnsi="宋体" w:cs="宋体"/>
          <w:sz w:val="18"/>
          <w:szCs w:val="18"/>
        </w:rPr>
      </w:pP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817"/>
        <w:gridCol w:w="1559"/>
        <w:gridCol w:w="1560"/>
        <w:gridCol w:w="1572"/>
        <w:gridCol w:w="1546"/>
        <w:gridCol w:w="1208"/>
        <w:gridCol w:w="1377"/>
      </w:tblGrid>
      <w:tr w:rsidR="00157EA0" w:rsidTr="00F87C44">
        <w:trPr>
          <w:trHeight w:val="240"/>
        </w:trPr>
        <w:tc>
          <w:tcPr>
            <w:tcW w:w="81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名称</w:t>
            </w:r>
          </w:p>
        </w:tc>
        <w:tc>
          <w:tcPr>
            <w:tcW w:w="311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703"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F87C44">
        <w:trPr>
          <w:trHeight w:val="240"/>
        </w:trPr>
        <w:tc>
          <w:tcPr>
            <w:tcW w:w="81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57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54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2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计提理由</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B公司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27,611,393.52</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18,506,410.03</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10,499,708.37</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F公司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4,318,323.01</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G公司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3,818,198.30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H公司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2,497,965.54</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I公司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1,533,000.00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J公司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1,272,200.00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K公司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1,235,000.00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L公司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M公司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1,133,000.00</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N公司</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1,084,233.35</w:t>
            </w:r>
          </w:p>
        </w:tc>
        <w:tc>
          <w:tcPr>
            <w:tcW w:w="12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rsidTr="00F87C44">
        <w:trPr>
          <w:trHeight w:val="240"/>
        </w:trPr>
        <w:tc>
          <w:tcPr>
            <w:tcW w:w="8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57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54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147,775,666.53</w:t>
            </w:r>
          </w:p>
        </w:tc>
        <w:tc>
          <w:tcPr>
            <w:tcW w:w="12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按组合计提坏账准备：</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848,010,893.05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16,960,217.86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1至2年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125,532,192.92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6,276,609.64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2至3年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82,845,673.54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8,284,567.36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3至4年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57,316,662.79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28,658,331.42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4至5年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22,397,831.03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17,918,264.83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113,646,609.51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113,646,609.51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1,249,749,862.84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191,744,600.62</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确定该组合依据的说明：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如是按照预期信用损失一般模型计提应收账款坏账准备：</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239" w:name="_Toc989127"/>
      <w:r>
        <w:rPr>
          <w:rFonts w:ascii="宋体" w:eastAsia="宋体" w:hAnsi="宋体" w:cs="宋体"/>
          <w:b/>
          <w:bCs/>
          <w:szCs w:val="21"/>
        </w:rPr>
        <w:t>（3） 本期计提、收回或转回的坏账准备情况</w:t>
      </w:r>
      <w:bookmarkEnd w:id="23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本期计提坏账准备情况：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68"/>
        <w:gridCol w:w="1559"/>
        <w:gridCol w:w="1559"/>
        <w:gridCol w:w="1134"/>
        <w:gridCol w:w="1418"/>
        <w:gridCol w:w="708"/>
        <w:gridCol w:w="1593"/>
      </w:tblGrid>
      <w:tr w:rsidR="00157EA0" w:rsidTr="00F87C44">
        <w:trPr>
          <w:trHeight w:val="240"/>
        </w:trPr>
        <w:tc>
          <w:tcPr>
            <w:tcW w:w="166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55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819"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F87C44">
        <w:trPr>
          <w:trHeight w:val="240"/>
        </w:trPr>
        <w:tc>
          <w:tcPr>
            <w:tcW w:w="166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应收账款坏账准备</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362,380,319.85</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-16,073,703.80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3,906,674.36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342,399,941.69</w:t>
            </w:r>
          </w:p>
        </w:tc>
      </w:tr>
      <w:tr w:rsidR="00157EA0" w:rsidTr="00F87C44">
        <w:trPr>
          <w:trHeight w:val="240"/>
        </w:trPr>
        <w:tc>
          <w:tcPr>
            <w:tcW w:w="166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362,380,319.85</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-16,073,703.80</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3,906,674.36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342,399,941.69</w:t>
            </w:r>
          </w:p>
        </w:tc>
      </w:tr>
    </w:tbl>
    <w:p w:rsidR="00BA0365" w:rsidRDefault="008D4B2E" w:rsidP="00F87C44">
      <w:pPr>
        <w:spacing w:before="100" w:after="100" w:line="240" w:lineRule="exact"/>
      </w:pPr>
      <w:r>
        <w:rPr>
          <w:rFonts w:ascii="宋体" w:eastAsia="宋体" w:hAnsi="宋体" w:cs="宋体"/>
          <w:sz w:val="18"/>
          <w:szCs w:val="18"/>
        </w:rPr>
        <w:t>其中本期坏账准备收回或转回金额重要的：</w:t>
      </w:r>
      <w:r w:rsidR="00F87C44">
        <w:rPr>
          <w:rFonts w:ascii="宋体" w:eastAsia="宋体" w:hAnsi="宋体" w:cs="宋体"/>
          <w:sz w:val="18"/>
          <w:szCs w:val="18"/>
        </w:rPr>
        <w:t>无</w:t>
      </w:r>
      <w:r w:rsidR="00F87C44">
        <w:t xml:space="preserve"> </w:t>
      </w:r>
    </w:p>
    <w:p w:rsidR="00BA0365" w:rsidRDefault="008D4B2E">
      <w:pPr>
        <w:keepNext/>
        <w:keepLines/>
        <w:spacing w:before="300" w:after="300" w:line="280" w:lineRule="exact"/>
        <w:outlineLvl w:val="3"/>
        <w:rPr>
          <w:rFonts w:ascii="宋体" w:eastAsia="宋体" w:hAnsi="宋体" w:cs="宋体"/>
          <w:b/>
          <w:bCs/>
          <w:szCs w:val="21"/>
        </w:rPr>
      </w:pPr>
      <w:bookmarkStart w:id="240" w:name="_Toc989128"/>
      <w:r>
        <w:rPr>
          <w:rFonts w:ascii="宋体" w:eastAsia="宋体" w:hAnsi="宋体" w:cs="宋体"/>
          <w:b/>
          <w:bCs/>
          <w:szCs w:val="21"/>
        </w:rPr>
        <w:t>（4） 本期实际核销的应收账款情况</w:t>
      </w:r>
      <w:bookmarkEnd w:id="24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实际核销的应收账款</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3,906,674.36</w:t>
            </w:r>
          </w:p>
        </w:tc>
      </w:tr>
    </w:tbl>
    <w:p w:rsidR="00F220E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其中重要的应收账款核销情况：</w:t>
      </w:r>
      <w:r w:rsidR="00F220E5">
        <w:rPr>
          <w:rFonts w:ascii="宋体" w:eastAsia="宋体" w:hAnsi="宋体" w:cs="宋体" w:hint="eastAsia"/>
          <w:sz w:val="18"/>
          <w:szCs w:val="18"/>
        </w:rPr>
        <w:t>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应收账款核销说明：</w:t>
      </w:r>
      <w:r w:rsidR="00F220E5">
        <w:rPr>
          <w:rFonts w:ascii="宋体" w:eastAsia="宋体" w:hAnsi="宋体" w:cs="宋体"/>
          <w:sz w:val="18"/>
          <w:szCs w:val="18"/>
        </w:rPr>
        <w:t>无</w:t>
      </w:r>
    </w:p>
    <w:p w:rsidR="00BA0365" w:rsidRDefault="008D4B2E">
      <w:pPr>
        <w:keepNext/>
        <w:keepLines/>
        <w:spacing w:before="300" w:after="300" w:line="280" w:lineRule="exact"/>
        <w:outlineLvl w:val="3"/>
        <w:rPr>
          <w:rFonts w:ascii="宋体" w:eastAsia="宋体" w:hAnsi="宋体" w:cs="宋体"/>
          <w:b/>
          <w:bCs/>
          <w:szCs w:val="21"/>
        </w:rPr>
      </w:pPr>
      <w:bookmarkStart w:id="241" w:name="_Toc989129"/>
      <w:r>
        <w:rPr>
          <w:rFonts w:ascii="宋体" w:eastAsia="宋体" w:hAnsi="宋体" w:cs="宋体"/>
          <w:b/>
          <w:bCs/>
          <w:szCs w:val="21"/>
        </w:rPr>
        <w:t>（5） 按欠款方归集的期末余额前五名的应收账款和合同资产情况</w:t>
      </w:r>
      <w:bookmarkEnd w:id="24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07"/>
        <w:gridCol w:w="1607"/>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应收账款和合同资产期末余额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占应收账款和合同资产期末余额合计数的比例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应收账款坏账准备和合同资产减值准备期末余额</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388,976,953.84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388,976,953.84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25.79%</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17,860,590.53</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B公司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102,280,641.11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102,280,641.11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2,764,277.32</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101,782,703.41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101,782,703.41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2,035,654.07</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64,116,000.00</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60,534,294.22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60,534,294.22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1,242,829.86</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717,690,592.58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717,690,592.58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47.58%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88,019,351.78</w:t>
            </w:r>
          </w:p>
        </w:tc>
      </w:tr>
    </w:tbl>
    <w:p w:rsidR="00BA0365" w:rsidRDefault="008D4B2E">
      <w:pPr>
        <w:pStyle w:val="3"/>
        <w:spacing w:line="280" w:lineRule="exact"/>
        <w:jc w:val="left"/>
        <w:rPr>
          <w:rFonts w:ascii="宋体" w:hAnsi="宋体" w:cs="宋体"/>
          <w:b/>
          <w:bCs/>
        </w:rPr>
      </w:pPr>
      <w:bookmarkStart w:id="242" w:name="_Toc989130"/>
      <w:r>
        <w:rPr>
          <w:rFonts w:ascii="宋体" w:hAnsi="宋体" w:cs="宋体"/>
          <w:b/>
          <w:bCs/>
        </w:rPr>
        <w:t>5、应收款项融资</w:t>
      </w:r>
      <w:bookmarkEnd w:id="242"/>
    </w:p>
    <w:p w:rsidR="00BA0365" w:rsidRDefault="008D4B2E">
      <w:pPr>
        <w:keepNext/>
        <w:keepLines/>
        <w:spacing w:before="300" w:after="300" w:line="280" w:lineRule="exact"/>
        <w:outlineLvl w:val="3"/>
        <w:rPr>
          <w:rFonts w:ascii="宋体" w:eastAsia="宋体" w:hAnsi="宋体" w:cs="宋体"/>
          <w:b/>
          <w:bCs/>
          <w:szCs w:val="21"/>
        </w:rPr>
      </w:pPr>
      <w:bookmarkStart w:id="243" w:name="_Toc989131"/>
      <w:r>
        <w:rPr>
          <w:rFonts w:ascii="宋体" w:eastAsia="宋体" w:hAnsi="宋体" w:cs="宋体"/>
          <w:b/>
          <w:bCs/>
          <w:szCs w:val="21"/>
        </w:rPr>
        <w:t>（1） 应收款项融资分类列示</w:t>
      </w:r>
      <w:bookmarkEnd w:id="24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应收票据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529,018,313.90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529,018,313.90</w:t>
            </w:r>
          </w:p>
        </w:tc>
      </w:tr>
    </w:tbl>
    <w:p w:rsidR="00BA0365" w:rsidRDefault="008D4B2E">
      <w:pPr>
        <w:keepNext/>
        <w:keepLines/>
        <w:spacing w:before="300" w:after="300" w:line="280" w:lineRule="exact"/>
        <w:outlineLvl w:val="3"/>
        <w:rPr>
          <w:rFonts w:ascii="宋体" w:eastAsia="宋体" w:hAnsi="宋体" w:cs="宋体"/>
          <w:b/>
          <w:bCs/>
          <w:szCs w:val="21"/>
        </w:rPr>
      </w:pPr>
      <w:bookmarkStart w:id="244" w:name="_Toc989132"/>
      <w:r>
        <w:rPr>
          <w:rFonts w:ascii="宋体" w:eastAsia="宋体" w:hAnsi="宋体" w:cs="宋体"/>
          <w:b/>
          <w:bCs/>
          <w:szCs w:val="21"/>
        </w:rPr>
        <w:t>（2） 期末公司已背书或贴现且在资产负债表日尚未到期的应收款项融资</w:t>
      </w:r>
      <w:bookmarkEnd w:id="24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期末终止确认金额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期末未终止确认金额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687,059,486.39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商业承兑汇票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687,059,486.39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pStyle w:val="3"/>
        <w:spacing w:line="280" w:lineRule="exact"/>
        <w:jc w:val="left"/>
        <w:rPr>
          <w:rFonts w:ascii="宋体" w:hAnsi="宋体" w:cs="宋体"/>
          <w:b/>
          <w:bCs/>
        </w:rPr>
      </w:pPr>
      <w:bookmarkStart w:id="245" w:name="_Toc989135"/>
      <w:r>
        <w:rPr>
          <w:rFonts w:ascii="宋体" w:hAnsi="宋体" w:cs="宋体"/>
          <w:b/>
          <w:bCs/>
        </w:rPr>
        <w:t>6、其他应收款</w:t>
      </w:r>
      <w:bookmarkEnd w:id="24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45,788,981.72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97,544,337.28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45,788,981.72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98,744,337.28</w:t>
            </w:r>
          </w:p>
        </w:tc>
      </w:tr>
    </w:tbl>
    <w:p w:rsidR="00BA0365" w:rsidRDefault="008D4B2E">
      <w:pPr>
        <w:keepNext/>
        <w:keepLines/>
        <w:spacing w:before="300" w:after="300" w:line="280" w:lineRule="exact"/>
        <w:outlineLvl w:val="3"/>
        <w:rPr>
          <w:rFonts w:ascii="宋体" w:eastAsia="宋体" w:hAnsi="宋体" w:cs="宋体"/>
          <w:b/>
          <w:bCs/>
          <w:szCs w:val="21"/>
        </w:rPr>
      </w:pPr>
      <w:bookmarkStart w:id="246" w:name="_Toc989136"/>
      <w:r>
        <w:rPr>
          <w:rFonts w:ascii="宋体" w:eastAsia="宋体" w:hAnsi="宋体" w:cs="宋体"/>
          <w:b/>
          <w:bCs/>
          <w:szCs w:val="21"/>
        </w:rPr>
        <w:t>（1） 应收股利</w:t>
      </w:r>
      <w:bookmarkEnd w:id="246"/>
    </w:p>
    <w:p w:rsidR="00BA0365" w:rsidRDefault="008D4B2E">
      <w:pPr>
        <w:keepNext/>
        <w:keepLines/>
        <w:spacing w:before="300" w:after="300" w:line="280" w:lineRule="exact"/>
        <w:outlineLvl w:val="4"/>
        <w:rPr>
          <w:rFonts w:ascii="宋体" w:eastAsia="宋体" w:hAnsi="宋体" w:cs="宋体"/>
          <w:b/>
          <w:bCs/>
          <w:szCs w:val="21"/>
        </w:rPr>
      </w:pPr>
      <w:bookmarkStart w:id="247" w:name="_Toc989137"/>
      <w:r>
        <w:rPr>
          <w:rFonts w:ascii="宋体" w:eastAsia="宋体" w:hAnsi="宋体" w:cs="宋体"/>
          <w:b/>
          <w:bCs/>
          <w:szCs w:val="21"/>
        </w:rPr>
        <w:t>1） 应收股利分类</w:t>
      </w:r>
      <w:bookmarkEnd w:id="24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项目（或被投资单位）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1,200,000.00</w:t>
            </w:r>
          </w:p>
        </w:tc>
      </w:tr>
    </w:tbl>
    <w:p w:rsidR="00BA0365" w:rsidRDefault="008D4B2E">
      <w:pPr>
        <w:keepNext/>
        <w:keepLines/>
        <w:spacing w:before="300" w:after="300" w:line="280" w:lineRule="exact"/>
        <w:outlineLvl w:val="3"/>
        <w:rPr>
          <w:rFonts w:ascii="宋体" w:eastAsia="宋体" w:hAnsi="宋体" w:cs="宋体"/>
          <w:b/>
          <w:bCs/>
          <w:szCs w:val="21"/>
        </w:rPr>
      </w:pPr>
      <w:bookmarkStart w:id="248" w:name="_Toc989138"/>
      <w:r>
        <w:rPr>
          <w:rFonts w:ascii="宋体" w:eastAsia="宋体" w:hAnsi="宋体" w:cs="宋体"/>
          <w:b/>
          <w:bCs/>
          <w:szCs w:val="21"/>
        </w:rPr>
        <w:lastRenderedPageBreak/>
        <w:t>（2） 其他应收款</w:t>
      </w:r>
      <w:bookmarkEnd w:id="248"/>
    </w:p>
    <w:p w:rsidR="00BA0365" w:rsidRDefault="008D4B2E">
      <w:pPr>
        <w:keepNext/>
        <w:keepLines/>
        <w:spacing w:before="300" w:after="300" w:line="280" w:lineRule="exact"/>
        <w:outlineLvl w:val="4"/>
        <w:rPr>
          <w:rFonts w:ascii="宋体" w:eastAsia="宋体" w:hAnsi="宋体" w:cs="宋体"/>
          <w:b/>
          <w:bCs/>
          <w:szCs w:val="21"/>
        </w:rPr>
      </w:pPr>
      <w:bookmarkStart w:id="249" w:name="_Toc989139"/>
      <w:r>
        <w:rPr>
          <w:rFonts w:ascii="宋体" w:eastAsia="宋体" w:hAnsi="宋体" w:cs="宋体"/>
          <w:b/>
          <w:bCs/>
          <w:szCs w:val="21"/>
        </w:rPr>
        <w:t>1） 其他应收款按款项性质分类情况</w:t>
      </w:r>
      <w:bookmarkEnd w:id="24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324,134,332.27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372,274,536.49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保证金、押金及备用金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47,496,644.23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49,486,912.92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17,519,248.64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26,724,969.35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389,150,225.14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448,486,418.76</w:t>
            </w:r>
          </w:p>
        </w:tc>
      </w:tr>
    </w:tbl>
    <w:p w:rsidR="00BA0365" w:rsidRDefault="008D4B2E">
      <w:pPr>
        <w:keepNext/>
        <w:keepLines/>
        <w:spacing w:before="300" w:after="300" w:line="280" w:lineRule="exact"/>
        <w:outlineLvl w:val="4"/>
        <w:rPr>
          <w:rFonts w:ascii="宋体" w:eastAsia="宋体" w:hAnsi="宋体" w:cs="宋体"/>
          <w:b/>
          <w:bCs/>
          <w:szCs w:val="21"/>
        </w:rPr>
      </w:pPr>
      <w:bookmarkStart w:id="250" w:name="_Toc989140"/>
      <w:r>
        <w:rPr>
          <w:rFonts w:ascii="宋体" w:eastAsia="宋体" w:hAnsi="宋体" w:cs="宋体"/>
          <w:b/>
          <w:bCs/>
          <w:szCs w:val="21"/>
        </w:rPr>
        <w:t xml:space="preserve">2） </w:t>
      </w:r>
      <w:proofErr w:type="gramStart"/>
      <w:r>
        <w:rPr>
          <w:rFonts w:ascii="宋体" w:eastAsia="宋体" w:hAnsi="宋体" w:cs="宋体"/>
          <w:b/>
          <w:bCs/>
          <w:szCs w:val="21"/>
        </w:rPr>
        <w:t>按账龄</w:t>
      </w:r>
      <w:proofErr w:type="gramEnd"/>
      <w:r>
        <w:rPr>
          <w:rFonts w:ascii="宋体" w:eastAsia="宋体" w:hAnsi="宋体" w:cs="宋体"/>
          <w:b/>
          <w:bCs/>
          <w:szCs w:val="21"/>
        </w:rPr>
        <w:t>披露</w:t>
      </w:r>
      <w:bookmarkEnd w:id="250"/>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48,392,557.52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126,029,567.92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43,914,938.95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12,378,925.81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3,045,270.95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4,055,576.56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293,797,457.72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306,022,348.47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3,600,204.72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47,897,937.71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46,175,788.57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3,421,822.48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244,021,464.43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254,702,588.28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389,150,225.14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448,486,418.76</w:t>
            </w:r>
          </w:p>
        </w:tc>
      </w:tr>
    </w:tbl>
    <w:p w:rsidR="00BA0365" w:rsidRDefault="008D4B2E">
      <w:pPr>
        <w:keepNext/>
        <w:keepLines/>
        <w:spacing w:before="300" w:after="300" w:line="280" w:lineRule="exact"/>
        <w:outlineLvl w:val="4"/>
        <w:rPr>
          <w:rFonts w:ascii="宋体" w:eastAsia="宋体" w:hAnsi="宋体" w:cs="宋体"/>
          <w:b/>
          <w:bCs/>
          <w:szCs w:val="21"/>
        </w:rPr>
      </w:pPr>
      <w:bookmarkStart w:id="251" w:name="_Toc989141"/>
      <w:r>
        <w:rPr>
          <w:rFonts w:ascii="宋体" w:eastAsia="宋体" w:hAnsi="宋体" w:cs="宋体"/>
          <w:b/>
          <w:bCs/>
          <w:szCs w:val="21"/>
        </w:rPr>
        <w:t>3） 按坏账计提方法分类披露</w:t>
      </w:r>
      <w:bookmarkEnd w:id="251"/>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4"/>
        <w:rPr>
          <w:rFonts w:ascii="宋体" w:eastAsia="宋体" w:hAnsi="宋体" w:cs="宋体"/>
          <w:b/>
          <w:bCs/>
          <w:szCs w:val="21"/>
        </w:rPr>
      </w:pPr>
      <w:bookmarkStart w:id="252" w:name="_Toc989142"/>
      <w:r>
        <w:rPr>
          <w:rFonts w:ascii="宋体" w:eastAsia="宋体" w:hAnsi="宋体" w:cs="宋体"/>
          <w:b/>
          <w:bCs/>
          <w:szCs w:val="21"/>
        </w:rPr>
        <w:t>4） 本期计提、收回或转回的坏账准备情况</w:t>
      </w:r>
      <w:bookmarkEnd w:id="25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本期计提坏账准备情况：</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157EA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转销或核销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350,942,081.48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-7,480,838.06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343,361,243.42</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350,942,081.48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-7,480,838.06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343,361,243.42</w:t>
            </w:r>
          </w:p>
        </w:tc>
      </w:tr>
    </w:tbl>
    <w:p w:rsidR="00BA0365" w:rsidRDefault="008D4B2E">
      <w:pPr>
        <w:keepNext/>
        <w:keepLines/>
        <w:spacing w:before="300" w:after="300" w:line="280" w:lineRule="exact"/>
        <w:outlineLvl w:val="4"/>
        <w:rPr>
          <w:rFonts w:ascii="宋体" w:eastAsia="宋体" w:hAnsi="宋体" w:cs="宋体"/>
          <w:b/>
          <w:bCs/>
          <w:szCs w:val="21"/>
        </w:rPr>
      </w:pPr>
      <w:bookmarkStart w:id="253" w:name="_Toc989143"/>
      <w:r>
        <w:rPr>
          <w:rFonts w:ascii="宋体" w:eastAsia="宋体" w:hAnsi="宋体" w:cs="宋体"/>
          <w:b/>
          <w:bCs/>
          <w:szCs w:val="21"/>
        </w:rPr>
        <w:t>5） 本期实际核销的其他应收款情况</w:t>
      </w:r>
      <w:bookmarkEnd w:id="25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实际核销的其他应收款</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w:t>
            </w:r>
          </w:p>
        </w:tc>
      </w:tr>
    </w:tbl>
    <w:p w:rsidR="00F220E5" w:rsidRDefault="008D4B2E">
      <w:pPr>
        <w:keepNext/>
        <w:keepLines/>
        <w:spacing w:before="300" w:after="300" w:line="280" w:lineRule="exact"/>
        <w:outlineLvl w:val="4"/>
        <w:rPr>
          <w:rFonts w:ascii="宋体" w:eastAsia="宋体" w:hAnsi="宋体" w:cs="宋体"/>
          <w:sz w:val="18"/>
          <w:szCs w:val="18"/>
        </w:rPr>
      </w:pPr>
      <w:r>
        <w:rPr>
          <w:rFonts w:ascii="宋体" w:eastAsia="宋体" w:hAnsi="宋体" w:cs="宋体"/>
          <w:sz w:val="18"/>
          <w:szCs w:val="18"/>
        </w:rPr>
        <w:lastRenderedPageBreak/>
        <w:t>其中重要的其他应收款核销情况：</w:t>
      </w:r>
      <w:bookmarkStart w:id="254" w:name="_Toc989144"/>
      <w:r w:rsidR="00F220E5">
        <w:rPr>
          <w:rFonts w:ascii="宋体" w:eastAsia="宋体" w:hAnsi="宋体" w:cs="宋体" w:hint="eastAsia"/>
          <w:sz w:val="18"/>
          <w:szCs w:val="18"/>
        </w:rPr>
        <w:t>无</w:t>
      </w:r>
    </w:p>
    <w:p w:rsidR="00BA0365" w:rsidRDefault="00F220E5">
      <w:pPr>
        <w:keepNext/>
        <w:keepLines/>
        <w:spacing w:before="300" w:after="300" w:line="280" w:lineRule="exact"/>
        <w:outlineLvl w:val="4"/>
        <w:rPr>
          <w:rFonts w:ascii="宋体" w:eastAsia="宋体" w:hAnsi="宋体" w:cs="宋体"/>
          <w:b/>
          <w:bCs/>
          <w:szCs w:val="21"/>
        </w:rPr>
      </w:pPr>
      <w:r>
        <w:rPr>
          <w:rFonts w:ascii="宋体" w:eastAsia="宋体" w:hAnsi="宋体" w:cs="宋体"/>
          <w:b/>
          <w:bCs/>
          <w:szCs w:val="21"/>
        </w:rPr>
        <w:t>6） 按欠款方归集的期末余额前五名的其他应收款情况</w:t>
      </w:r>
      <w:bookmarkEnd w:id="25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07"/>
        <w:gridCol w:w="1607"/>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款项的性质</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占其他应收款期末余额合计数的比例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229,790,604.64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5年以上</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59.05%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B公司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38,246,580.00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4-5年</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38,246,580.00</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23,175,000.00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1-2年</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23,175,000.00</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8,402,284.50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3,388,839.34</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5,968,488.83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4-5年</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5,968,488.83</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305,582,957.97</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78.53%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300,569,512.81</w:t>
            </w:r>
          </w:p>
        </w:tc>
      </w:tr>
    </w:tbl>
    <w:p w:rsidR="00BA0365" w:rsidRDefault="008D4B2E">
      <w:pPr>
        <w:pStyle w:val="3"/>
        <w:spacing w:line="280" w:lineRule="exact"/>
        <w:jc w:val="left"/>
        <w:rPr>
          <w:rFonts w:ascii="宋体" w:hAnsi="宋体" w:cs="宋体"/>
          <w:b/>
          <w:bCs/>
        </w:rPr>
      </w:pPr>
      <w:bookmarkStart w:id="255" w:name="_Toc989145"/>
      <w:r>
        <w:rPr>
          <w:rFonts w:ascii="宋体" w:hAnsi="宋体" w:cs="宋体"/>
          <w:b/>
          <w:bCs/>
        </w:rPr>
        <w:t>7、预付款项</w:t>
      </w:r>
      <w:bookmarkEnd w:id="255"/>
    </w:p>
    <w:p w:rsidR="00BA0365" w:rsidRDefault="008D4B2E">
      <w:pPr>
        <w:keepNext/>
        <w:keepLines/>
        <w:spacing w:before="300" w:after="300" w:line="280" w:lineRule="exact"/>
        <w:outlineLvl w:val="3"/>
        <w:rPr>
          <w:rFonts w:ascii="宋体" w:eastAsia="宋体" w:hAnsi="宋体" w:cs="宋体"/>
          <w:b/>
          <w:bCs/>
          <w:szCs w:val="21"/>
        </w:rPr>
      </w:pPr>
      <w:bookmarkStart w:id="256" w:name="_Toc989146"/>
      <w:r>
        <w:rPr>
          <w:rFonts w:ascii="宋体" w:eastAsia="宋体" w:hAnsi="宋体" w:cs="宋体"/>
          <w:b/>
          <w:bCs/>
          <w:szCs w:val="21"/>
        </w:rPr>
        <w:t>（1） 预付</w:t>
      </w:r>
      <w:proofErr w:type="gramStart"/>
      <w:r>
        <w:rPr>
          <w:rFonts w:ascii="宋体" w:eastAsia="宋体" w:hAnsi="宋体" w:cs="宋体"/>
          <w:b/>
          <w:bCs/>
          <w:szCs w:val="21"/>
        </w:rPr>
        <w:t>款项按账龄</w:t>
      </w:r>
      <w:proofErr w:type="gramEnd"/>
      <w:r>
        <w:rPr>
          <w:rFonts w:ascii="宋体" w:eastAsia="宋体" w:hAnsi="宋体" w:cs="宋体"/>
          <w:b/>
          <w:bCs/>
          <w:szCs w:val="21"/>
        </w:rPr>
        <w:t>列示</w:t>
      </w:r>
      <w:bookmarkEnd w:id="25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1年以内</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150,508,237.32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85.38%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222,727,994.98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83.28%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17,148,751.03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33,378,573.26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1,398,186.26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0.79%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3,968,896.97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7,229,023.90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7,384,605.60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176,284,198.51</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267,460,070.81</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keepNext/>
        <w:keepLines/>
        <w:spacing w:before="300" w:after="300" w:line="280" w:lineRule="exact"/>
        <w:outlineLvl w:val="3"/>
        <w:rPr>
          <w:rFonts w:ascii="宋体" w:eastAsia="宋体" w:hAnsi="宋体" w:cs="宋体"/>
          <w:b/>
          <w:bCs/>
          <w:szCs w:val="21"/>
        </w:rPr>
      </w:pPr>
      <w:bookmarkStart w:id="257" w:name="_Toc989147"/>
      <w:r>
        <w:rPr>
          <w:rFonts w:ascii="宋体" w:eastAsia="宋体" w:hAnsi="宋体" w:cs="宋体"/>
          <w:b/>
          <w:bCs/>
          <w:szCs w:val="21"/>
        </w:rPr>
        <w:t>（2） 按预付对象归集的期末余额前五名的预付款情况</w:t>
      </w:r>
      <w:bookmarkEnd w:id="257"/>
    </w:p>
    <w:tbl>
      <w:tblPr>
        <w:tblW w:w="9606" w:type="dxa"/>
        <w:tblCellMar>
          <w:top w:w="15" w:type="dxa"/>
          <w:left w:w="15" w:type="dxa"/>
          <w:bottom w:w="15" w:type="dxa"/>
          <w:right w:w="15" w:type="dxa"/>
        </w:tblCellMar>
        <w:tblLook w:val="04A0" w:firstRow="1" w:lastRow="0" w:firstColumn="1" w:lastColumn="0" w:noHBand="0" w:noVBand="1"/>
      </w:tblPr>
      <w:tblGrid>
        <w:gridCol w:w="3655"/>
        <w:gridCol w:w="2265"/>
        <w:gridCol w:w="3686"/>
      </w:tblGrid>
      <w:tr w:rsidR="008D4B2E" w:rsidTr="00F220E5">
        <w:trPr>
          <w:divId w:val="1691681757"/>
          <w:trHeight w:val="493"/>
        </w:trPr>
        <w:tc>
          <w:tcPr>
            <w:tcW w:w="3655" w:type="dxa"/>
            <w:tcBorders>
              <w:top w:val="single" w:sz="8" w:space="0" w:color="auto"/>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单位名称</w:t>
            </w:r>
          </w:p>
        </w:tc>
        <w:tc>
          <w:tcPr>
            <w:tcW w:w="2265" w:type="dxa"/>
            <w:tcBorders>
              <w:top w:val="single" w:sz="8" w:space="0" w:color="auto"/>
              <w:left w:val="nil"/>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期末余额</w:t>
            </w:r>
          </w:p>
        </w:tc>
        <w:tc>
          <w:tcPr>
            <w:tcW w:w="3686"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before="40" w:after="40" w:line="240" w:lineRule="exact"/>
              <w:jc w:val="center"/>
              <w:rPr>
                <w:rFonts w:ascii="宋体" w:eastAsia="宋体" w:hAnsi="宋体" w:cs="宋体"/>
                <w:sz w:val="18"/>
                <w:szCs w:val="18"/>
              </w:rPr>
            </w:pPr>
            <w:r w:rsidRPr="00FC6EB6">
              <w:rPr>
                <w:rFonts w:ascii="宋体" w:eastAsia="宋体" w:hAnsi="宋体" w:cs="宋体" w:hint="eastAsia"/>
                <w:sz w:val="18"/>
                <w:szCs w:val="18"/>
              </w:rPr>
              <w:t>占预付账款期末余额合计数的比例（</w:t>
            </w:r>
            <w:r w:rsidRPr="00FC6EB6">
              <w:rPr>
                <w:rFonts w:ascii="宋体" w:eastAsia="宋体" w:hAnsi="宋体" w:cs="宋体"/>
                <w:sz w:val="18"/>
                <w:szCs w:val="18"/>
              </w:rPr>
              <w:t>%</w:t>
            </w:r>
            <w:r w:rsidRPr="00FC6EB6">
              <w:rPr>
                <w:rFonts w:ascii="宋体" w:eastAsia="宋体" w:hAnsi="宋体" w:cs="宋体" w:hint="eastAsia"/>
                <w:sz w:val="18"/>
                <w:szCs w:val="18"/>
              </w:rPr>
              <w:t>）</w:t>
            </w:r>
          </w:p>
        </w:tc>
      </w:tr>
      <w:tr w:rsidR="008D4B2E" w:rsidTr="00F220E5">
        <w:trPr>
          <w:divId w:val="1691681757"/>
          <w:trHeight w:val="343"/>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sz w:val="18"/>
                <w:szCs w:val="18"/>
              </w:rPr>
              <w:t>A</w:t>
            </w:r>
            <w:r w:rsidRPr="00FC6EB6">
              <w:rPr>
                <w:rFonts w:ascii="宋体" w:eastAsia="宋体" w:hAnsi="宋体" w:cs="宋体" w:hint="eastAsia"/>
                <w:sz w:val="18"/>
                <w:szCs w:val="18"/>
              </w:rPr>
              <w:t>公司</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15,864,367.55</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9.00</w:t>
            </w:r>
          </w:p>
        </w:tc>
      </w:tr>
      <w:tr w:rsidR="008D4B2E" w:rsidTr="00F220E5">
        <w:trPr>
          <w:divId w:val="1691681757"/>
          <w:trHeight w:val="343"/>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sz w:val="18"/>
                <w:szCs w:val="18"/>
              </w:rPr>
              <w:t>B</w:t>
            </w:r>
            <w:r w:rsidRPr="00FC6EB6">
              <w:rPr>
                <w:rFonts w:ascii="宋体" w:eastAsia="宋体" w:hAnsi="宋体" w:cs="宋体" w:hint="eastAsia"/>
                <w:sz w:val="18"/>
                <w:szCs w:val="18"/>
              </w:rPr>
              <w:t>公司</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12,203,404.62</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6.92</w:t>
            </w:r>
          </w:p>
        </w:tc>
      </w:tr>
      <w:tr w:rsidR="008D4B2E" w:rsidTr="00F220E5">
        <w:trPr>
          <w:divId w:val="1691681757"/>
          <w:trHeight w:val="343"/>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sz w:val="18"/>
                <w:szCs w:val="18"/>
              </w:rPr>
              <w:t>C</w:t>
            </w:r>
            <w:r w:rsidRPr="00FC6EB6">
              <w:rPr>
                <w:rFonts w:ascii="宋体" w:eastAsia="宋体" w:hAnsi="宋体" w:cs="宋体" w:hint="eastAsia"/>
                <w:sz w:val="18"/>
                <w:szCs w:val="18"/>
              </w:rPr>
              <w:t>公司</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11,184,750.00</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6.34</w:t>
            </w:r>
          </w:p>
        </w:tc>
      </w:tr>
      <w:tr w:rsidR="008D4B2E" w:rsidTr="00F220E5">
        <w:trPr>
          <w:divId w:val="1691681757"/>
          <w:trHeight w:val="343"/>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sz w:val="18"/>
                <w:szCs w:val="18"/>
              </w:rPr>
              <w:t>D</w:t>
            </w:r>
            <w:r w:rsidRPr="00FC6EB6">
              <w:rPr>
                <w:rFonts w:ascii="宋体" w:eastAsia="宋体" w:hAnsi="宋体" w:cs="宋体" w:hint="eastAsia"/>
                <w:sz w:val="18"/>
                <w:szCs w:val="18"/>
              </w:rPr>
              <w:t>公司</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10,406,519.33</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5.90</w:t>
            </w:r>
          </w:p>
        </w:tc>
      </w:tr>
      <w:tr w:rsidR="008D4B2E" w:rsidTr="00F220E5">
        <w:trPr>
          <w:divId w:val="1691681757"/>
          <w:trHeight w:val="54"/>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center"/>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sz w:val="18"/>
                <w:szCs w:val="18"/>
              </w:rPr>
              <w:t>E</w:t>
            </w:r>
            <w:r w:rsidRPr="00FC6EB6">
              <w:rPr>
                <w:rFonts w:ascii="宋体" w:eastAsia="宋体" w:hAnsi="宋体" w:cs="宋体" w:hint="eastAsia"/>
                <w:sz w:val="18"/>
                <w:szCs w:val="18"/>
              </w:rPr>
              <w:t>公司</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7,840,000.00</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sz w:val="18"/>
                <w:szCs w:val="18"/>
              </w:rPr>
              <w:t>4.45</w:t>
            </w:r>
          </w:p>
        </w:tc>
      </w:tr>
      <w:tr w:rsidR="008D4B2E" w:rsidTr="00F220E5">
        <w:trPr>
          <w:divId w:val="1691681757"/>
          <w:trHeight w:val="343"/>
        </w:trPr>
        <w:tc>
          <w:tcPr>
            <w:tcW w:w="3655" w:type="dxa"/>
            <w:tcBorders>
              <w:top w:val="nil"/>
              <w:left w:val="single" w:sz="8" w:space="0" w:color="auto"/>
              <w:bottom w:val="single" w:sz="8" w:space="0" w:color="auto"/>
              <w:right w:val="single" w:sz="8" w:space="0" w:color="auto"/>
            </w:tcBorders>
            <w:shd w:val="clear" w:color="auto" w:fill="D3D3D3"/>
            <w:noWrap/>
            <w:tcMar>
              <w:top w:w="0" w:type="dxa"/>
              <w:left w:w="108" w:type="dxa"/>
              <w:bottom w:w="0" w:type="dxa"/>
              <w:right w:w="108" w:type="dxa"/>
            </w:tcMar>
            <w:vAlign w:val="bottom"/>
            <w:hideMark/>
          </w:tcPr>
          <w:p w:rsidR="008D4B2E" w:rsidRPr="00FC6EB6" w:rsidRDefault="008D4B2E" w:rsidP="00FC6EB6">
            <w:pPr>
              <w:spacing w:before="40" w:after="40" w:line="240" w:lineRule="exact"/>
              <w:rPr>
                <w:rFonts w:ascii="宋体" w:eastAsia="宋体" w:hAnsi="宋体" w:cs="宋体"/>
                <w:sz w:val="18"/>
                <w:szCs w:val="18"/>
              </w:rPr>
            </w:pPr>
            <w:r w:rsidRPr="00FC6EB6">
              <w:rPr>
                <w:rFonts w:ascii="宋体" w:eastAsia="宋体" w:hAnsi="宋体" w:cs="宋体" w:hint="eastAsia"/>
                <w:sz w:val="18"/>
                <w:szCs w:val="18"/>
              </w:rPr>
              <w:t>合计</w:t>
            </w:r>
          </w:p>
        </w:tc>
        <w:tc>
          <w:tcPr>
            <w:tcW w:w="22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bCs/>
                <w:sz w:val="18"/>
                <w:szCs w:val="18"/>
              </w:rPr>
              <w:t>57,499,041.50</w:t>
            </w:r>
          </w:p>
        </w:tc>
        <w:tc>
          <w:tcPr>
            <w:tcW w:w="36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8D4B2E" w:rsidRPr="00FC6EB6" w:rsidRDefault="008D4B2E" w:rsidP="00FC6EB6">
            <w:pPr>
              <w:spacing w:before="40" w:after="40" w:line="240" w:lineRule="exact"/>
              <w:jc w:val="right"/>
              <w:rPr>
                <w:rFonts w:ascii="宋体" w:eastAsia="宋体" w:hAnsi="宋体" w:cs="宋体"/>
                <w:sz w:val="18"/>
                <w:szCs w:val="18"/>
              </w:rPr>
            </w:pPr>
            <w:r w:rsidRPr="00FC6EB6">
              <w:rPr>
                <w:rFonts w:ascii="宋体" w:eastAsia="宋体" w:hAnsi="宋体" w:cs="宋体"/>
                <w:bCs/>
                <w:sz w:val="18"/>
                <w:szCs w:val="18"/>
              </w:rPr>
              <w:t>32.61</w:t>
            </w:r>
          </w:p>
        </w:tc>
      </w:tr>
    </w:tbl>
    <w:p w:rsidR="00BA0365" w:rsidRDefault="008D4B2E">
      <w:pPr>
        <w:pStyle w:val="3"/>
        <w:spacing w:line="280" w:lineRule="exact"/>
        <w:jc w:val="left"/>
        <w:rPr>
          <w:rFonts w:ascii="宋体" w:hAnsi="宋体" w:cs="宋体"/>
          <w:b/>
          <w:bCs/>
        </w:rPr>
      </w:pPr>
      <w:bookmarkStart w:id="258" w:name="_Toc989148"/>
      <w:r>
        <w:rPr>
          <w:rFonts w:ascii="宋体" w:hAnsi="宋体" w:cs="宋体"/>
          <w:b/>
          <w:bCs/>
        </w:rPr>
        <w:t>8、存货</w:t>
      </w:r>
      <w:bookmarkEnd w:id="25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公司是否需要遵守房地产行业的披露要求</w:t>
      </w:r>
    </w:p>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否</w:t>
      </w:r>
      <w:proofErr w:type="gramEnd"/>
    </w:p>
    <w:p w:rsidR="00BA0365" w:rsidRDefault="008D4B2E">
      <w:pPr>
        <w:keepNext/>
        <w:keepLines/>
        <w:spacing w:before="300" w:after="300" w:line="280" w:lineRule="exact"/>
        <w:outlineLvl w:val="3"/>
        <w:rPr>
          <w:rFonts w:ascii="宋体" w:eastAsia="宋体" w:hAnsi="宋体" w:cs="宋体"/>
          <w:b/>
          <w:bCs/>
          <w:szCs w:val="21"/>
        </w:rPr>
      </w:pPr>
      <w:bookmarkStart w:id="259" w:name="_Toc989149"/>
      <w:r>
        <w:rPr>
          <w:rFonts w:ascii="宋体" w:eastAsia="宋体" w:hAnsi="宋体" w:cs="宋体"/>
          <w:b/>
          <w:bCs/>
          <w:szCs w:val="21"/>
        </w:rPr>
        <w:lastRenderedPageBreak/>
        <w:t>（1） 存货分类</w:t>
      </w:r>
      <w:bookmarkEnd w:id="25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157EA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存货跌价准备或合同履约成本减值准备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545,139,626.27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69,307,560.32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475,832,065.95</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516,215,191.01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38,988,260.20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477,226,930.81</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在产品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5,176,394,976.56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157,773,658.53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5,018,621,318.03</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4,148,523,342.02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148,420,778.11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4,000,102,563.91</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179,504,804.57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2,638,051.45</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176,866,753.12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189,768,767.87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6,992,313.78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182,776,454.09</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周转材料</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1,954,737.02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1,954,737.02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1,120,550.86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1,120,550.86</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5,902,994,144.42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229,719,270.30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5,673,274,874.12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4,855,627,851.76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194,401,352.09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4,661,226,499.67</w:t>
            </w:r>
          </w:p>
        </w:tc>
      </w:tr>
    </w:tbl>
    <w:p w:rsidR="00BA0365" w:rsidRDefault="008D4B2E">
      <w:pPr>
        <w:keepNext/>
        <w:keepLines/>
        <w:spacing w:before="300" w:after="300" w:line="280" w:lineRule="exact"/>
        <w:outlineLvl w:val="3"/>
        <w:rPr>
          <w:rFonts w:ascii="宋体" w:eastAsia="宋体" w:hAnsi="宋体" w:cs="宋体"/>
          <w:b/>
          <w:bCs/>
          <w:szCs w:val="21"/>
        </w:rPr>
      </w:pPr>
      <w:bookmarkStart w:id="260" w:name="_Toc989150"/>
      <w:r>
        <w:rPr>
          <w:rFonts w:ascii="宋体" w:eastAsia="宋体" w:hAnsi="宋体" w:cs="宋体"/>
          <w:b/>
          <w:bCs/>
          <w:szCs w:val="21"/>
        </w:rPr>
        <w:t>（2） 存货跌价准备和合同履约成本减值准备</w:t>
      </w:r>
      <w:bookmarkEnd w:id="26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157EA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本期减少金额</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转回或转销</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原材料</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38,988,260.20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30,319,300.12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69,307,560.32</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在产品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148,420,778.11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50,534,540.48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41,181,660.06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157,773,658.53</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库存商品</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6,992,313.78</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1,476,572.87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5,830,835.20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2,638,051.45</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194,401,352.09</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82,330,413.47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47,012,495.26</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229,719,270.30</w:t>
            </w:r>
          </w:p>
        </w:tc>
      </w:tr>
    </w:tbl>
    <w:p w:rsidR="00BA0365" w:rsidRDefault="008D4B2E">
      <w:pPr>
        <w:pStyle w:val="3"/>
        <w:spacing w:line="280" w:lineRule="exact"/>
        <w:jc w:val="left"/>
        <w:rPr>
          <w:rFonts w:ascii="宋体" w:hAnsi="宋体" w:cs="宋体"/>
          <w:b/>
          <w:bCs/>
        </w:rPr>
      </w:pPr>
      <w:bookmarkStart w:id="261" w:name="_Toc989151"/>
      <w:r>
        <w:rPr>
          <w:rFonts w:ascii="宋体" w:hAnsi="宋体" w:cs="宋体"/>
          <w:b/>
          <w:bCs/>
        </w:rPr>
        <w:t>9、其他流动资产</w:t>
      </w:r>
      <w:bookmarkEnd w:id="26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待抵扣进项税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109,894,278.58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83,462,736.18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其他税费重分类</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7,381,980.09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27,676,136.34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银行理财产品</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50,165,616.44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252,505,000.00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167,441,875.11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363,643,872.52</w:t>
            </w:r>
          </w:p>
        </w:tc>
      </w:tr>
    </w:tbl>
    <w:p w:rsidR="00BA0365" w:rsidRDefault="008D4B2E">
      <w:pPr>
        <w:pStyle w:val="3"/>
        <w:spacing w:line="280" w:lineRule="exact"/>
        <w:jc w:val="left"/>
        <w:rPr>
          <w:rFonts w:ascii="宋体" w:hAnsi="宋体" w:cs="宋体"/>
          <w:b/>
          <w:bCs/>
        </w:rPr>
      </w:pPr>
      <w:bookmarkStart w:id="262" w:name="_Toc989152"/>
      <w:r>
        <w:rPr>
          <w:rFonts w:ascii="宋体" w:hAnsi="宋体" w:cs="宋体"/>
          <w:b/>
          <w:bCs/>
        </w:rPr>
        <w:t>10、其他权益工具投资</w:t>
      </w:r>
      <w:bookmarkEnd w:id="26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本期计入其他综合收益的利得</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本期计入其他综合收益的损失</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本期末累计计入其他综合收益的利得</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本期末累计计入其他综合收益的损失</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本期确认的股利收入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指定为以公允价值计量且其变动计入其他综合收益的原因</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青软创新</w:t>
            </w:r>
            <w:proofErr w:type="gramEnd"/>
            <w:r>
              <w:rPr>
                <w:rFonts w:ascii="宋体" w:eastAsia="宋体" w:hAnsi="宋体" w:cs="宋体"/>
                <w:sz w:val="18"/>
                <w:szCs w:val="18"/>
              </w:rPr>
              <w:t>科技集团</w:t>
            </w:r>
            <w:r>
              <w:rPr>
                <w:rFonts w:ascii="宋体" w:eastAsia="宋体" w:hAnsi="宋体" w:cs="宋体"/>
                <w:sz w:val="18"/>
                <w:szCs w:val="18"/>
              </w:rPr>
              <w:lastRenderedPageBreak/>
              <w:t>股份有限公司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30,000,000.00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青岛万方循环科技有限公司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22,312,030.87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22,312,030.87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青岛科捷机器人有限公司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11,730,000.00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11,730,000.00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华商汇通融资租赁有限公司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10,836,000.00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10,836,000.00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科捷智能科技股份有限公司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59,641,039.50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88,465,000.00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-908,509.30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41,211,442.13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七台河市</w:t>
            </w:r>
            <w:proofErr w:type="gramStart"/>
            <w:r>
              <w:rPr>
                <w:rFonts w:ascii="宋体" w:eastAsia="宋体" w:hAnsi="宋体" w:cs="宋体"/>
                <w:sz w:val="18"/>
                <w:szCs w:val="18"/>
              </w:rPr>
              <w:t>飞嘉废旧</w:t>
            </w:r>
            <w:proofErr w:type="gramEnd"/>
            <w:r>
              <w:rPr>
                <w:rFonts w:ascii="宋体" w:eastAsia="宋体" w:hAnsi="宋体" w:cs="宋体"/>
                <w:sz w:val="18"/>
                <w:szCs w:val="18"/>
              </w:rPr>
              <w:t>轮胎综合利用有限公司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654,823.08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836,483.06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-154,410.98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-973,400.38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天津农村商业银行股份有限公司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347,150,000.00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347,150,000.00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570C59">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rPr>
                <w:rFonts w:ascii="宋体" w:eastAsia="宋体" w:hAnsi="宋体" w:cs="宋体"/>
                <w:sz w:val="18"/>
                <w:szCs w:val="18"/>
              </w:rPr>
            </w:pPr>
            <w:proofErr w:type="gramStart"/>
            <w:r w:rsidRPr="00570C59">
              <w:rPr>
                <w:rFonts w:ascii="宋体" w:eastAsia="宋体" w:hAnsi="宋体" w:cs="宋体" w:hint="eastAsia"/>
                <w:sz w:val="18"/>
                <w:szCs w:val="18"/>
              </w:rPr>
              <w:t>怡</w:t>
            </w:r>
            <w:proofErr w:type="gramEnd"/>
            <w:r w:rsidRPr="00570C59">
              <w:rPr>
                <w:rFonts w:ascii="宋体" w:eastAsia="宋体" w:hAnsi="宋体" w:cs="宋体" w:hint="eastAsia"/>
                <w:sz w:val="18"/>
                <w:szCs w:val="18"/>
              </w:rPr>
              <w:t>维</w:t>
            </w:r>
            <w:proofErr w:type="gramStart"/>
            <w:r w:rsidRPr="00570C59">
              <w:rPr>
                <w:rFonts w:ascii="宋体" w:eastAsia="宋体" w:hAnsi="宋体" w:cs="宋体" w:hint="eastAsia"/>
                <w:sz w:val="18"/>
                <w:szCs w:val="18"/>
              </w:rPr>
              <w:t>怡</w:t>
            </w:r>
            <w:proofErr w:type="gramEnd"/>
            <w:r w:rsidRPr="00570C59">
              <w:rPr>
                <w:rFonts w:ascii="宋体" w:eastAsia="宋体" w:hAnsi="宋体" w:cs="宋体" w:hint="eastAsia"/>
                <w:sz w:val="18"/>
                <w:szCs w:val="18"/>
              </w:rPr>
              <w:t>橡胶研究院有限公司</w:t>
            </w: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.00</w:t>
            </w: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r>
              <w:rPr>
                <w:rFonts w:ascii="宋体" w:eastAsia="宋体" w:hAnsi="宋体" w:cs="宋体" w:hint="eastAsia"/>
                <w:sz w:val="18"/>
                <w:szCs w:val="18"/>
              </w:rPr>
              <w:t>0</w:t>
            </w:r>
            <w:r>
              <w:rPr>
                <w:rFonts w:ascii="宋体" w:eastAsia="宋体" w:hAnsi="宋体" w:cs="宋体"/>
                <w:sz w:val="18"/>
                <w:szCs w:val="18"/>
              </w:rPr>
              <w:t>.00</w:t>
            </w: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570C59" w:rsidRDefault="00570C59">
            <w:pPr>
              <w:spacing w:line="240" w:lineRule="exact"/>
              <w:rPr>
                <w:rFonts w:ascii="宋体" w:eastAsia="宋体" w:hAnsi="宋体" w:cs="宋体"/>
                <w:sz w:val="18"/>
                <w:szCs w:val="18"/>
              </w:rPr>
            </w:pP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482,323,893.45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511,329,513.93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-1,062,920.28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41,211,442.13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-973,400.38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14,400,000.00</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pStyle w:val="3"/>
        <w:spacing w:line="280" w:lineRule="exact"/>
        <w:jc w:val="left"/>
        <w:rPr>
          <w:rFonts w:ascii="宋体" w:hAnsi="宋体" w:cs="宋体"/>
          <w:b/>
          <w:bCs/>
        </w:rPr>
      </w:pPr>
      <w:bookmarkStart w:id="263" w:name="_Toc989153"/>
      <w:r>
        <w:rPr>
          <w:rFonts w:ascii="宋体" w:hAnsi="宋体" w:cs="宋体"/>
          <w:b/>
          <w:bCs/>
        </w:rPr>
        <w:t>11、长期股权投资</w:t>
      </w:r>
      <w:bookmarkEnd w:id="26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1"/>
        <w:gridCol w:w="741"/>
        <w:gridCol w:w="741"/>
        <w:gridCol w:w="741"/>
        <w:gridCol w:w="741"/>
        <w:gridCol w:w="741"/>
        <w:gridCol w:w="741"/>
        <w:gridCol w:w="741"/>
        <w:gridCol w:w="741"/>
        <w:gridCol w:w="741"/>
        <w:gridCol w:w="745"/>
        <w:gridCol w:w="741"/>
        <w:gridCol w:w="743"/>
      </w:tblGrid>
      <w:tr w:rsidR="00157EA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5932"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权益法下确认的投资损益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其他综合收益调整</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其他权益变动</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宣告发放现金股利或利润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一、合营企业</w:t>
            </w:r>
          </w:p>
        </w:tc>
      </w:tr>
      <w:tr w:rsidR="00157EA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二、联营企业</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青岛青维科技发展有限公司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9,903,310.89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-163.19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9,903,147.70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63,767,708.45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978,873.14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64,746,581.59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w:t>
            </w:r>
            <w:r>
              <w:rPr>
                <w:rFonts w:ascii="宋体" w:eastAsia="宋体" w:hAnsi="宋体" w:cs="宋体"/>
                <w:sz w:val="18"/>
                <w:szCs w:val="18"/>
              </w:rPr>
              <w:lastRenderedPageBreak/>
              <w:t>凯力威科技股份有限公司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51,16</w:t>
            </w:r>
            <w:r>
              <w:rPr>
                <w:rFonts w:ascii="宋体" w:eastAsia="宋体" w:hAnsi="宋体" w:cs="宋体"/>
                <w:sz w:val="18"/>
                <w:szCs w:val="18"/>
              </w:rPr>
              <w:lastRenderedPageBreak/>
              <w:t>3,316.87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2,603</w:t>
            </w:r>
            <w:r>
              <w:rPr>
                <w:rFonts w:ascii="宋体" w:eastAsia="宋体" w:hAnsi="宋体" w:cs="宋体"/>
                <w:sz w:val="18"/>
                <w:szCs w:val="18"/>
              </w:rPr>
              <w:lastRenderedPageBreak/>
              <w:t>,047.55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w:t>
            </w:r>
            <w:r>
              <w:rPr>
                <w:rFonts w:ascii="宋体" w:eastAsia="宋体" w:hAnsi="宋体" w:cs="宋体"/>
                <w:sz w:val="18"/>
                <w:szCs w:val="18"/>
              </w:rPr>
              <w:lastRenderedPageBreak/>
              <w:t>,000.00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52,16</w:t>
            </w:r>
            <w:r>
              <w:rPr>
                <w:rFonts w:ascii="宋体" w:eastAsia="宋体" w:hAnsi="宋体" w:cs="宋体"/>
                <w:sz w:val="18"/>
                <w:szCs w:val="18"/>
              </w:rPr>
              <w:lastRenderedPageBreak/>
              <w:t>6,364.42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青岛纵联工业技术有限公司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1,330,517.35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18,212.52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1,348,729.87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小计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126,164,853.56</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3,599,970.02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126,164,853.56</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3,599,970.02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128,164,823.58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D4B2E" w:rsidRPr="00F220E5" w:rsidRDefault="008D4B2E" w:rsidP="00F220E5">
      <w:pPr>
        <w:spacing w:before="100" w:after="100" w:line="240" w:lineRule="exact"/>
        <w:rPr>
          <w:rFonts w:ascii="宋体" w:eastAsia="宋体" w:hAnsi="宋体" w:cs="宋体"/>
          <w:sz w:val="18"/>
          <w:szCs w:val="18"/>
        </w:rPr>
      </w:pPr>
      <w:r>
        <w:rPr>
          <w:rFonts w:ascii="宋体" w:eastAsia="宋体" w:hAnsi="宋体" w:cs="宋体"/>
          <w:sz w:val="18"/>
          <w:szCs w:val="18"/>
        </w:rPr>
        <w:t>前述信息与以前年度减值测试采用的信息或外部信息明显不一致的差异原因</w:t>
      </w:r>
      <w:r w:rsidR="00F220E5">
        <w:rPr>
          <w:rFonts w:ascii="宋体" w:eastAsia="宋体" w:hAnsi="宋体" w:cs="宋体"/>
          <w:sz w:val="18"/>
          <w:szCs w:val="18"/>
        </w:rPr>
        <w:t>：无</w:t>
      </w:r>
    </w:p>
    <w:p w:rsidR="00BA0365" w:rsidRDefault="008D4B2E">
      <w:pPr>
        <w:pStyle w:val="3"/>
        <w:spacing w:line="280" w:lineRule="exact"/>
        <w:jc w:val="left"/>
        <w:rPr>
          <w:rFonts w:ascii="宋体" w:hAnsi="宋体" w:cs="宋体"/>
          <w:b/>
          <w:bCs/>
        </w:rPr>
      </w:pPr>
      <w:bookmarkStart w:id="264" w:name="_Toc989154"/>
      <w:r>
        <w:rPr>
          <w:rFonts w:ascii="宋体" w:hAnsi="宋体" w:cs="宋体"/>
          <w:b/>
          <w:bCs/>
        </w:rPr>
        <w:t>12、投资性房地产</w:t>
      </w:r>
      <w:bookmarkEnd w:id="264"/>
    </w:p>
    <w:p w:rsidR="00BA0365" w:rsidRDefault="008D4B2E">
      <w:pPr>
        <w:keepNext/>
        <w:keepLines/>
        <w:spacing w:before="300" w:after="300" w:line="280" w:lineRule="exact"/>
        <w:outlineLvl w:val="3"/>
        <w:rPr>
          <w:rFonts w:ascii="宋体" w:eastAsia="宋体" w:hAnsi="宋体" w:cs="宋体"/>
          <w:b/>
          <w:bCs/>
          <w:sz w:val="18"/>
          <w:szCs w:val="18"/>
        </w:rPr>
      </w:pPr>
      <w:bookmarkStart w:id="265" w:name="_Toc989155"/>
      <w:r>
        <w:rPr>
          <w:rFonts w:ascii="宋体" w:eastAsia="宋体" w:hAnsi="宋体" w:cs="宋体"/>
          <w:b/>
          <w:bCs/>
          <w:sz w:val="18"/>
          <w:szCs w:val="18"/>
        </w:rPr>
        <w:t>（1） 采用成本计量模式的投资性房地产</w:t>
      </w:r>
      <w:bookmarkEnd w:id="265"/>
    </w:p>
    <w:p w:rsidR="00BA0365" w:rsidRDefault="008D4B2E">
      <w:pPr>
        <w:spacing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房屋、建筑物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土地使用权</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在建工程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67,851,918.40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80,851,886.16</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1,620,229.28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1,620,229.28</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（1）外购</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1,620,229.28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1,620,229.28</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（2）存货\固定资产\在建工程转入</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69,472,147.68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82,472,115.44</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处置子公司转出</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69,472,147.68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82,472,115.44</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二、累计折旧和累计摊销</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lastRenderedPageBreak/>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3,081,720.60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1,559,996.14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4,641,716.74</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1,306,181.83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108,333.06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1,414,514.89</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（1）计提或摊销</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1,306,181.83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108,333.06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1,414,514.89</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4,387,902.43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1,668,329.20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6,056,231.63</w:t>
            </w: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rsidP="001542D9">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w:t>
            </w:r>
            <w:r w:rsidR="001542D9">
              <w:rPr>
                <w:rFonts w:ascii="宋体" w:eastAsia="宋体" w:hAnsi="宋体" w:cs="宋体" w:hint="eastAsia"/>
                <w:sz w:val="18"/>
                <w:szCs w:val="18"/>
              </w:rPr>
              <w:t>其他</w:t>
            </w:r>
            <w:r>
              <w:rPr>
                <w:rFonts w:ascii="宋体" w:eastAsia="宋体" w:hAnsi="宋体" w:cs="宋体"/>
                <w:sz w:val="18"/>
                <w:szCs w:val="18"/>
              </w:rPr>
              <w:t>转出</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r>
              <w:rPr>
                <w:rFonts w:ascii="宋体" w:eastAsia="宋体" w:hAnsi="宋体" w:cs="宋体"/>
                <w:sz w:val="18"/>
                <w:szCs w:val="18"/>
              </w:rPr>
              <w:t>处置子公司转出</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4,387,902.43</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1,668,329.20</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6,056,231.63</w:t>
            </w: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（2）其他转出</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42D9" w:rsidTr="001542D9">
        <w:trPr>
          <w:trHeight w:val="240"/>
        </w:trPr>
        <w:tc>
          <w:tcPr>
            <w:tcW w:w="1927" w:type="dxa"/>
            <w:tcBorders>
              <w:top w:val="single" w:sz="2" w:space="0" w:color="auto"/>
              <w:left w:val="single" w:sz="2" w:space="0" w:color="auto"/>
              <w:bottom w:val="single" w:sz="2" w:space="0" w:color="auto"/>
              <w:right w:val="single" w:sz="2" w:space="0" w:color="auto"/>
            </w:tcBorders>
            <w:shd w:val="clear" w:color="auto" w:fill="D3D3D3"/>
            <w:vAlign w:val="center"/>
          </w:tcPr>
          <w:p w:rsidR="001542D9" w:rsidRDefault="001542D9" w:rsidP="001542D9">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64,770,197.80</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11,439,971.62</w:t>
            </w: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1542D9" w:rsidRDefault="001542D9" w:rsidP="001542D9">
            <w:pPr>
              <w:spacing w:line="240" w:lineRule="exact"/>
              <w:jc w:val="right"/>
              <w:rPr>
                <w:rFonts w:ascii="宋体" w:eastAsia="宋体" w:hAnsi="宋体" w:cs="宋体"/>
                <w:sz w:val="18"/>
                <w:szCs w:val="18"/>
              </w:rPr>
            </w:pPr>
            <w:r>
              <w:rPr>
                <w:rFonts w:ascii="宋体" w:eastAsia="宋体" w:hAnsi="宋体" w:cs="宋体"/>
                <w:sz w:val="18"/>
                <w:szCs w:val="18"/>
              </w:rPr>
              <w:t>76,210,169.42</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8D4B2E" w:rsidRPr="00F220E5" w:rsidRDefault="008D4B2E" w:rsidP="00F220E5">
      <w:pPr>
        <w:spacing w:before="100" w:after="100" w:line="240" w:lineRule="exact"/>
        <w:rPr>
          <w:rFonts w:ascii="宋体" w:eastAsia="宋体" w:hAnsi="宋体" w:cs="宋体"/>
          <w:sz w:val="18"/>
          <w:szCs w:val="18"/>
        </w:rPr>
      </w:pPr>
      <w:r>
        <w:rPr>
          <w:rFonts w:ascii="宋体" w:eastAsia="宋体" w:hAnsi="宋体" w:cs="宋体"/>
          <w:sz w:val="18"/>
          <w:szCs w:val="18"/>
        </w:rPr>
        <w:t>前述信息与以前年度减值测试采用的信息或外部信息明显不一致的差异原因</w:t>
      </w:r>
      <w:r w:rsidR="00F220E5">
        <w:rPr>
          <w:rFonts w:ascii="宋体" w:eastAsia="宋体" w:hAnsi="宋体" w:cs="宋体"/>
          <w:sz w:val="18"/>
          <w:szCs w:val="18"/>
        </w:rPr>
        <w:t>：无</w:t>
      </w:r>
    </w:p>
    <w:p w:rsidR="00BA0365" w:rsidRDefault="008D4B2E">
      <w:pPr>
        <w:keepNext/>
        <w:keepLines/>
        <w:spacing w:before="300" w:after="300" w:line="280" w:lineRule="exact"/>
        <w:outlineLvl w:val="3"/>
        <w:rPr>
          <w:rFonts w:ascii="宋体" w:eastAsia="宋体" w:hAnsi="宋体" w:cs="宋体"/>
          <w:b/>
          <w:bCs/>
          <w:sz w:val="18"/>
          <w:szCs w:val="18"/>
        </w:rPr>
      </w:pPr>
      <w:bookmarkStart w:id="266" w:name="_Toc989156"/>
      <w:r>
        <w:rPr>
          <w:rFonts w:ascii="宋体" w:eastAsia="宋体" w:hAnsi="宋体" w:cs="宋体"/>
          <w:b/>
          <w:bCs/>
          <w:sz w:val="18"/>
          <w:szCs w:val="18"/>
        </w:rPr>
        <w:t>（2） 采用公允价值计量模式的投资性房地产</w:t>
      </w:r>
      <w:bookmarkEnd w:id="26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267" w:name="_Toc989157"/>
      <w:r>
        <w:rPr>
          <w:rFonts w:ascii="宋体" w:hAnsi="宋体" w:cs="宋体"/>
          <w:b/>
          <w:bCs/>
        </w:rPr>
        <w:t>13、固定资产</w:t>
      </w:r>
      <w:bookmarkEnd w:id="26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2,221,406,601.56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2,205,451,294.22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固定资产清理</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268,840.00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2,221,675,441.56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2,205,451,294.22</w:t>
            </w:r>
          </w:p>
        </w:tc>
      </w:tr>
    </w:tbl>
    <w:p w:rsidR="00BA0365" w:rsidRDefault="008D4B2E">
      <w:pPr>
        <w:keepNext/>
        <w:keepLines/>
        <w:spacing w:before="300" w:after="300" w:line="280" w:lineRule="exact"/>
        <w:outlineLvl w:val="3"/>
        <w:rPr>
          <w:rFonts w:ascii="宋体" w:eastAsia="宋体" w:hAnsi="宋体" w:cs="宋体"/>
          <w:b/>
          <w:bCs/>
          <w:szCs w:val="21"/>
        </w:rPr>
      </w:pPr>
      <w:bookmarkStart w:id="268" w:name="_Toc989158"/>
      <w:r>
        <w:rPr>
          <w:rFonts w:ascii="宋体" w:eastAsia="宋体" w:hAnsi="宋体" w:cs="宋体"/>
          <w:b/>
          <w:bCs/>
          <w:szCs w:val="21"/>
        </w:rPr>
        <w:t>（1） 固定资产情况</w:t>
      </w:r>
      <w:bookmarkEnd w:id="26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04"/>
        <w:gridCol w:w="1205"/>
        <w:gridCol w:w="1205"/>
        <w:gridCol w:w="1205"/>
        <w:gridCol w:w="1205"/>
        <w:gridCol w:w="1205"/>
        <w:gridCol w:w="1205"/>
        <w:gridCol w:w="1205"/>
      </w:tblGrid>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房屋及建筑物</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机器设备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电子设备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办公设备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运输设备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1,341,468,311.36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1,735,830,655.08</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65,663,010.12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59,039,972.38</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44,540,253.05</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3,178,343.32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3,249,720,545.31</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72,034,216.57</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171,721,865.50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2,970,632.29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9,763,346.34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5,115,821.49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28,239.36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261,634,121.55</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（1）购置</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65,305,305.74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104,351,792.14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2,687,711.93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9,763,346.34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5,115,821.49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28,239.36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187,252,217.00</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（2）在建工程转入</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6,728,910.83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67,370,073.36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282,920.36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74,381,904.55</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1,918,171.24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48,510,611.94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246,977.40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1,231,662.99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2,140,514.91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54,047,938.48</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1,918,171.24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48,510,611.94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246,977.40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1,231,662.99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2,140,514.91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54,047,938.48</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1,411,584,356.69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1,859,041,908.64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68,386,665.01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67,571,655.73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47,515,559.63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3,206,582.68</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3,457,306,728.38</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二、累计折旧</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287,758,318.81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660,648,414.73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43,112,878.39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23,429,953.84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23,503,923.52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2,860,187.97</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1,041,313,677.26</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60,153,840.74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132,510,050.44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4,961,959.97</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7,890,314.63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5,409,408.39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14,573.38</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210,940,147.55</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60,153,840.74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132,510,050.44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4,961,959.97</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7,890,314.63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5,409,408.39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14,573.38</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210,940,147.55</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220,189.96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16,475,431.82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222,042.46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1,105,923.56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1,285,684.02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19,309,271.82</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220,189.96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16,475,431.82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222,042.46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1,105,923.56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1,285,684.02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19,309,271.82</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347,691,969.59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776,683,033.35</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47,852,795.90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30,214,344.91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27,627,647.89</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2,874,761.35</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1,232,944,552.99</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2,955,573.83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2,955,573.83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（1）处置或报废</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2,955,573.83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2,955,573.83</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1,063,892,387.10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1,079,403,301.46</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20,533,869.11</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37,357,310.82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19,887,911.74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331,821.33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2,221,406,601.56</w:t>
            </w:r>
          </w:p>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1,053,709,992.55</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1,072,226,666.52</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22,550,131.73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35,610,018.54</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21,036,329.53</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318,155.35</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2,205,451,294.22</w:t>
            </w:r>
          </w:p>
        </w:tc>
      </w:tr>
    </w:tbl>
    <w:p w:rsidR="00BA0365" w:rsidRDefault="008D4B2E">
      <w:pPr>
        <w:keepNext/>
        <w:keepLines/>
        <w:spacing w:before="300" w:after="300" w:line="280" w:lineRule="exact"/>
        <w:outlineLvl w:val="3"/>
        <w:rPr>
          <w:rFonts w:ascii="宋体" w:eastAsia="宋体" w:hAnsi="宋体" w:cs="宋体"/>
          <w:b/>
          <w:bCs/>
          <w:szCs w:val="21"/>
        </w:rPr>
      </w:pPr>
      <w:bookmarkStart w:id="269" w:name="_Toc989159"/>
      <w:r>
        <w:rPr>
          <w:rFonts w:ascii="宋体" w:eastAsia="宋体" w:hAnsi="宋体" w:cs="宋体"/>
          <w:b/>
          <w:bCs/>
          <w:szCs w:val="21"/>
        </w:rPr>
        <w:t>（2） 未办妥产权证书的固定资产情况</w:t>
      </w:r>
      <w:bookmarkEnd w:id="26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未办妥产权证书的原因</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EVE厂房</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237,338,050.08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F220E5">
            <w:pPr>
              <w:spacing w:line="240" w:lineRule="exact"/>
              <w:jc w:val="center"/>
              <w:rPr>
                <w:rFonts w:ascii="宋体" w:eastAsia="宋体" w:hAnsi="宋体" w:cs="宋体"/>
                <w:sz w:val="18"/>
                <w:szCs w:val="18"/>
              </w:rPr>
            </w:pPr>
            <w:r>
              <w:rPr>
                <w:rFonts w:ascii="宋体" w:eastAsia="宋体" w:hAnsi="宋体" w:cs="宋体"/>
                <w:sz w:val="18"/>
                <w:szCs w:val="18"/>
              </w:rPr>
              <w:t>正在办理中</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抚顺伊科思厂房及办公楼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43,101,989.11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F220E5">
            <w:pPr>
              <w:spacing w:line="240" w:lineRule="exact"/>
              <w:jc w:val="center"/>
              <w:rPr>
                <w:rFonts w:ascii="宋体" w:eastAsia="宋体" w:hAnsi="宋体" w:cs="宋体"/>
                <w:sz w:val="18"/>
                <w:szCs w:val="18"/>
              </w:rPr>
            </w:pPr>
            <w:r>
              <w:rPr>
                <w:rFonts w:ascii="宋体" w:eastAsia="宋体" w:hAnsi="宋体" w:cs="宋体"/>
                <w:sz w:val="18"/>
                <w:szCs w:val="18"/>
              </w:rPr>
              <w:t>正在办理中</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敬业机电办公楼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27,081,601.40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F220E5">
            <w:pPr>
              <w:spacing w:line="240" w:lineRule="exact"/>
              <w:jc w:val="center"/>
              <w:rPr>
                <w:rFonts w:ascii="宋体" w:eastAsia="宋体" w:hAnsi="宋体" w:cs="宋体"/>
                <w:sz w:val="18"/>
                <w:szCs w:val="18"/>
              </w:rPr>
            </w:pPr>
            <w:r>
              <w:rPr>
                <w:rFonts w:ascii="宋体" w:eastAsia="宋体" w:hAnsi="宋体" w:cs="宋体"/>
                <w:sz w:val="18"/>
                <w:szCs w:val="18"/>
              </w:rPr>
              <w:t>正在办理中</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敬业机械厂房</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4,969,769.22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F220E5">
            <w:pPr>
              <w:spacing w:line="240" w:lineRule="exact"/>
              <w:jc w:val="center"/>
              <w:rPr>
                <w:rFonts w:ascii="宋体" w:eastAsia="宋体" w:hAnsi="宋体" w:cs="宋体"/>
                <w:sz w:val="18"/>
                <w:szCs w:val="18"/>
              </w:rPr>
            </w:pPr>
            <w:r>
              <w:rPr>
                <w:rFonts w:ascii="宋体" w:eastAsia="宋体" w:hAnsi="宋体" w:cs="宋体"/>
                <w:sz w:val="18"/>
                <w:szCs w:val="18"/>
              </w:rPr>
              <w:t>正在办理中</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荣成房产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5,287,905.25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rsidP="00F220E5">
            <w:pPr>
              <w:spacing w:line="240" w:lineRule="exact"/>
              <w:jc w:val="center"/>
              <w:rPr>
                <w:rFonts w:ascii="宋体" w:eastAsia="宋体" w:hAnsi="宋体" w:cs="宋体"/>
                <w:sz w:val="18"/>
                <w:szCs w:val="18"/>
              </w:rPr>
            </w:pPr>
            <w:r>
              <w:rPr>
                <w:rFonts w:ascii="宋体" w:eastAsia="宋体" w:hAnsi="宋体" w:cs="宋体"/>
                <w:sz w:val="18"/>
                <w:szCs w:val="18"/>
              </w:rPr>
              <w:t>正在办理中</w:t>
            </w:r>
          </w:p>
        </w:tc>
      </w:tr>
    </w:tbl>
    <w:p w:rsidR="00BA0365" w:rsidRDefault="008D4B2E">
      <w:pPr>
        <w:keepNext/>
        <w:keepLines/>
        <w:spacing w:before="300" w:after="300" w:line="280" w:lineRule="exact"/>
        <w:outlineLvl w:val="3"/>
        <w:rPr>
          <w:rFonts w:ascii="宋体" w:eastAsia="宋体" w:hAnsi="宋体" w:cs="宋体"/>
          <w:b/>
          <w:bCs/>
          <w:szCs w:val="21"/>
        </w:rPr>
      </w:pPr>
      <w:bookmarkStart w:id="270" w:name="_Toc989160"/>
      <w:r>
        <w:rPr>
          <w:rFonts w:ascii="宋体" w:eastAsia="宋体" w:hAnsi="宋体" w:cs="宋体"/>
          <w:b/>
          <w:bCs/>
          <w:szCs w:val="21"/>
        </w:rPr>
        <w:t>（3） 固定资产的减值测试情况</w:t>
      </w:r>
      <w:bookmarkEnd w:id="27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1512"/>
        <w:gridCol w:w="1323"/>
        <w:gridCol w:w="1431"/>
        <w:gridCol w:w="1688"/>
        <w:gridCol w:w="1276"/>
        <w:gridCol w:w="1167"/>
      </w:tblGrid>
      <w:tr w:rsidR="00157EA0" w:rsidTr="001112C2">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51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32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可收回金额</w:t>
            </w:r>
          </w:p>
        </w:tc>
        <w:tc>
          <w:tcPr>
            <w:tcW w:w="143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减值金额</w:t>
            </w:r>
          </w:p>
        </w:tc>
        <w:tc>
          <w:tcPr>
            <w:tcW w:w="1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公允价值和处置费用的确定方式</w:t>
            </w:r>
          </w:p>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关键参数</w:t>
            </w:r>
          </w:p>
        </w:tc>
        <w:tc>
          <w:tcPr>
            <w:tcW w:w="11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关键参数的确定依据</w:t>
            </w:r>
          </w:p>
        </w:tc>
      </w:tr>
      <w:tr w:rsidR="00157EA0" w:rsidTr="001112C2">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NRM</w:t>
            </w:r>
            <w:proofErr w:type="gramStart"/>
            <w:r>
              <w:rPr>
                <w:rFonts w:ascii="宋体" w:eastAsia="宋体" w:hAnsi="宋体" w:cs="宋体"/>
                <w:sz w:val="18"/>
                <w:szCs w:val="18"/>
              </w:rPr>
              <w:t>产线</w:t>
            </w:r>
            <w:proofErr w:type="gramEnd"/>
          </w:p>
        </w:tc>
        <w:tc>
          <w:tcPr>
            <w:tcW w:w="15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18,046,227.43</w:t>
            </w:r>
          </w:p>
        </w:tc>
        <w:tc>
          <w:tcPr>
            <w:tcW w:w="132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268,840.00</w:t>
            </w:r>
          </w:p>
        </w:tc>
        <w:tc>
          <w:tcPr>
            <w:tcW w:w="143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68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根据外部报价确定可回收金额</w:t>
            </w:r>
          </w:p>
        </w:tc>
        <w:tc>
          <w:tcPr>
            <w:tcW w:w="12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1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112C2">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15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18,046,227.43</w:t>
            </w:r>
          </w:p>
        </w:tc>
        <w:tc>
          <w:tcPr>
            <w:tcW w:w="132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268,840.00</w:t>
            </w:r>
          </w:p>
        </w:tc>
        <w:tc>
          <w:tcPr>
            <w:tcW w:w="143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1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2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1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271" w:name="_Toc989161"/>
      <w:r>
        <w:rPr>
          <w:rFonts w:ascii="宋体" w:eastAsia="宋体" w:hAnsi="宋体" w:cs="宋体"/>
          <w:b/>
          <w:bCs/>
          <w:szCs w:val="21"/>
        </w:rPr>
        <w:t>（4） 固定资产清理</w:t>
      </w:r>
      <w:bookmarkEnd w:id="27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固定资产清理</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268,840.00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268,840.00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bl>
    <w:p w:rsidR="00BA0365" w:rsidRDefault="008D4B2E">
      <w:pPr>
        <w:pStyle w:val="3"/>
        <w:spacing w:line="280" w:lineRule="exact"/>
        <w:jc w:val="left"/>
        <w:rPr>
          <w:rFonts w:ascii="宋体" w:hAnsi="宋体" w:cs="宋体"/>
          <w:b/>
          <w:bCs/>
        </w:rPr>
      </w:pPr>
      <w:bookmarkStart w:id="272" w:name="_Toc989162"/>
      <w:r>
        <w:rPr>
          <w:rFonts w:ascii="宋体" w:hAnsi="宋体" w:cs="宋体"/>
          <w:b/>
          <w:bCs/>
        </w:rPr>
        <w:lastRenderedPageBreak/>
        <w:t>14、在建工程</w:t>
      </w:r>
      <w:bookmarkEnd w:id="27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在建工程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工程物资</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r>
    </w:tbl>
    <w:p w:rsidR="00BA0365" w:rsidRDefault="008D4B2E">
      <w:pPr>
        <w:keepNext/>
        <w:keepLines/>
        <w:spacing w:before="300" w:after="300" w:line="280" w:lineRule="exact"/>
        <w:outlineLvl w:val="3"/>
        <w:rPr>
          <w:rFonts w:ascii="宋体" w:eastAsia="宋体" w:hAnsi="宋体" w:cs="宋体"/>
          <w:b/>
          <w:bCs/>
          <w:szCs w:val="21"/>
        </w:rPr>
      </w:pPr>
      <w:bookmarkStart w:id="273" w:name="_Toc989163"/>
      <w:r>
        <w:rPr>
          <w:rFonts w:ascii="宋体" w:eastAsia="宋体" w:hAnsi="宋体" w:cs="宋体"/>
          <w:b/>
          <w:bCs/>
          <w:szCs w:val="21"/>
        </w:rPr>
        <w:t>（1） 在建工程情况</w:t>
      </w:r>
      <w:bookmarkEnd w:id="27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526"/>
        <w:gridCol w:w="1559"/>
        <w:gridCol w:w="992"/>
        <w:gridCol w:w="1560"/>
        <w:gridCol w:w="1417"/>
        <w:gridCol w:w="992"/>
        <w:gridCol w:w="1593"/>
      </w:tblGrid>
      <w:tr w:rsidR="00157EA0" w:rsidTr="001112C2">
        <w:trPr>
          <w:trHeight w:val="240"/>
        </w:trPr>
        <w:tc>
          <w:tcPr>
            <w:tcW w:w="152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1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002"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rsidTr="001112C2">
        <w:trPr>
          <w:trHeight w:val="240"/>
        </w:trPr>
        <w:tc>
          <w:tcPr>
            <w:tcW w:w="152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5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碳五低碳综合利用绿色新材料项目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412,614,140.90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412,614,140.90</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3,320,754.59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3,320,754.59</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EVE</w:t>
            </w:r>
            <w:proofErr w:type="gramStart"/>
            <w:r>
              <w:rPr>
                <w:rFonts w:ascii="宋体" w:eastAsia="宋体" w:hAnsi="宋体" w:cs="宋体"/>
                <w:sz w:val="18"/>
                <w:szCs w:val="18"/>
              </w:rPr>
              <w:t>胶项目</w:t>
            </w:r>
            <w:proofErr w:type="gramEnd"/>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89,359,525.47</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89,359,525.47</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32,219,784.58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32,219,784.58</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EB自动化设备</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51,876,106.19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51,876,106.19</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rsidP="001542D9">
            <w:pPr>
              <w:spacing w:line="240" w:lineRule="exact"/>
              <w:rPr>
                <w:rFonts w:ascii="宋体" w:eastAsia="宋体" w:hAnsi="宋体" w:cs="宋体"/>
                <w:sz w:val="18"/>
                <w:szCs w:val="18"/>
              </w:rPr>
            </w:pPr>
            <w:r>
              <w:rPr>
                <w:rFonts w:ascii="宋体" w:eastAsia="宋体" w:hAnsi="宋体" w:cs="宋体"/>
                <w:sz w:val="18"/>
                <w:szCs w:val="18"/>
              </w:rPr>
              <w:t>天然气蒸汽锅炉节能提效改造项目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9,628,371.00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9,628,371.00</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柬埔寨低碳能源工厂供热项目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8,833,810.60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8,833,810.60</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后处理单元VOCS深度治理项目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7,137,353.13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7,137,353.13</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895,014.42</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895,014.42</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1,055,232.74</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1,055,232.74</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4,099,882.41</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4,099,882.41</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H客户光</w:t>
            </w:r>
            <w:proofErr w:type="gramStart"/>
            <w:r>
              <w:rPr>
                <w:rFonts w:ascii="宋体" w:eastAsia="宋体" w:hAnsi="宋体" w:cs="宋体"/>
                <w:sz w:val="18"/>
                <w:szCs w:val="18"/>
              </w:rPr>
              <w:t>伏项目</w:t>
            </w:r>
            <w:proofErr w:type="gramEnd"/>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18,763,956.39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18,763,956.39</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S客户光</w:t>
            </w:r>
            <w:proofErr w:type="gramStart"/>
            <w:r>
              <w:rPr>
                <w:rFonts w:ascii="宋体" w:eastAsia="宋体" w:hAnsi="宋体" w:cs="宋体"/>
                <w:sz w:val="18"/>
                <w:szCs w:val="18"/>
              </w:rPr>
              <w:t>伏项目</w:t>
            </w:r>
            <w:proofErr w:type="gramEnd"/>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11,629,456.86</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11,629,456.86</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橡胶节能改造及产品优化项目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7,852,275.02</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7,852,275.02</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喷漆车间扩建项目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5,226,660.97</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5,226,660.97</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产业园宿舍楼改造项目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4,475,173.40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4,475,173.40</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尾气回收利用系统项目</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2,771,595.57</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2,771,595.57</w:t>
            </w:r>
          </w:p>
        </w:tc>
      </w:tr>
      <w:tr w:rsidR="00157EA0" w:rsidTr="001112C2">
        <w:trPr>
          <w:trHeight w:val="240"/>
        </w:trPr>
        <w:tc>
          <w:tcPr>
            <w:tcW w:w="15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580,504,540.03</w:t>
            </w: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91,254,554.21</w:t>
            </w:r>
          </w:p>
        </w:tc>
      </w:tr>
    </w:tbl>
    <w:p w:rsidR="00BA0365" w:rsidRDefault="008D4B2E">
      <w:pPr>
        <w:keepNext/>
        <w:keepLines/>
        <w:spacing w:before="300" w:after="300" w:line="280" w:lineRule="exact"/>
        <w:outlineLvl w:val="3"/>
        <w:rPr>
          <w:rFonts w:ascii="宋体" w:eastAsia="宋体" w:hAnsi="宋体" w:cs="宋体"/>
          <w:b/>
          <w:bCs/>
          <w:szCs w:val="21"/>
        </w:rPr>
      </w:pPr>
      <w:bookmarkStart w:id="274" w:name="_Toc989164"/>
      <w:r>
        <w:rPr>
          <w:rFonts w:ascii="宋体" w:eastAsia="宋体" w:hAnsi="宋体" w:cs="宋体"/>
          <w:b/>
          <w:bCs/>
          <w:szCs w:val="21"/>
        </w:rPr>
        <w:t>（2） 重要在建工程项目本期变动情况</w:t>
      </w:r>
      <w:bookmarkEnd w:id="27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预算数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本期转入固定资产金额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本期其他减少金额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工程累计投入占预算比例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工程进度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利息资本化累计金额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其中：本期利息资本</w:t>
            </w:r>
            <w:proofErr w:type="gramStart"/>
            <w:r>
              <w:rPr>
                <w:rFonts w:ascii="宋体" w:eastAsia="宋体" w:hAnsi="宋体" w:cs="宋体"/>
                <w:sz w:val="18"/>
                <w:szCs w:val="18"/>
              </w:rPr>
              <w:t>化金额</w:t>
            </w:r>
            <w:proofErr w:type="gramEnd"/>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本期利息资本化率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资金来源</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EVE</w:t>
            </w:r>
            <w:proofErr w:type="gramStart"/>
            <w:r>
              <w:rPr>
                <w:rFonts w:ascii="宋体" w:eastAsia="宋体" w:hAnsi="宋体" w:cs="宋体"/>
                <w:sz w:val="18"/>
                <w:szCs w:val="18"/>
              </w:rPr>
              <w:t>胶项目</w:t>
            </w:r>
            <w:proofErr w:type="gramEnd"/>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2,383,400,000.00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32,219,784.58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71,036,266.00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7,404,956.28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6,491,568.83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89,359,525.47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64.78%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65%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碳五低碳综合利用绿色新材料项目</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877,711,200.00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3,320,754.59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409,293,386.31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412,614,140.90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80%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3,261,111,200.00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35,540,539.17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480,329,652.31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7,404,956.28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6,491,568.83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501,973,666.37</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keepNext/>
        <w:keepLines/>
        <w:spacing w:before="300" w:after="300" w:line="280" w:lineRule="exact"/>
        <w:outlineLvl w:val="3"/>
        <w:rPr>
          <w:rFonts w:ascii="宋体" w:eastAsia="宋体" w:hAnsi="宋体" w:cs="宋体"/>
          <w:b/>
          <w:bCs/>
          <w:szCs w:val="21"/>
        </w:rPr>
      </w:pPr>
      <w:bookmarkStart w:id="275" w:name="_Toc989165"/>
      <w:r>
        <w:rPr>
          <w:rFonts w:ascii="宋体" w:eastAsia="宋体" w:hAnsi="宋体" w:cs="宋体"/>
          <w:b/>
          <w:bCs/>
          <w:szCs w:val="21"/>
        </w:rPr>
        <w:t>（3） 在建工程的减值测试情况</w:t>
      </w:r>
      <w:bookmarkEnd w:id="27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276" w:name="_Toc989166"/>
      <w:r>
        <w:rPr>
          <w:rFonts w:ascii="宋体" w:hAnsi="宋体" w:cs="宋体"/>
          <w:b/>
          <w:bCs/>
        </w:rPr>
        <w:t>15、使用权资产</w:t>
      </w:r>
      <w:bookmarkEnd w:id="276"/>
    </w:p>
    <w:p w:rsidR="00BA0365" w:rsidRDefault="008D4B2E">
      <w:pPr>
        <w:keepNext/>
        <w:keepLines/>
        <w:spacing w:before="300" w:after="300" w:line="280" w:lineRule="exact"/>
        <w:outlineLvl w:val="3"/>
        <w:rPr>
          <w:rFonts w:ascii="宋体" w:eastAsia="宋体" w:hAnsi="宋体" w:cs="宋体"/>
          <w:b/>
          <w:bCs/>
          <w:szCs w:val="21"/>
        </w:rPr>
      </w:pPr>
      <w:bookmarkStart w:id="277" w:name="_Toc989167"/>
      <w:r>
        <w:rPr>
          <w:rFonts w:ascii="宋体" w:eastAsia="宋体" w:hAnsi="宋体" w:cs="宋体"/>
          <w:b/>
          <w:bCs/>
          <w:szCs w:val="21"/>
        </w:rPr>
        <w:t>（1） 使用权资产情况</w:t>
      </w:r>
      <w:bookmarkEnd w:id="27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rsidTr="00152E2B">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房屋及建筑物</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70,410,414.86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70,410,414.86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5,689,667.63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5,689,667.63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（1）新增及续租</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5,689,667.63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5,689,667.63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8,998,101.15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8,998,101.15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67,101,981.34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67,101,981.34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二、累计折旧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10,720,208.57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10,720,208.57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12,890,696.60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12,890,696.60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12,890,696.60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12,890,696.60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2,745,183.41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2,745,183.41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2,745,183.41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2,745,183.41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20,865,721.76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20,865,721.76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四、账面价值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46,236,259.58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46,236,259.58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59,690,206.29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59,690,206.29</w:t>
            </w:r>
          </w:p>
        </w:tc>
      </w:tr>
    </w:tbl>
    <w:p w:rsidR="00BA0365" w:rsidRDefault="008D4B2E">
      <w:pPr>
        <w:keepNext/>
        <w:keepLines/>
        <w:spacing w:before="300" w:after="300" w:line="280" w:lineRule="exact"/>
        <w:outlineLvl w:val="3"/>
        <w:rPr>
          <w:rFonts w:ascii="宋体" w:eastAsia="宋体" w:hAnsi="宋体" w:cs="宋体"/>
          <w:b/>
          <w:bCs/>
          <w:szCs w:val="21"/>
        </w:rPr>
      </w:pPr>
      <w:bookmarkStart w:id="278" w:name="_Toc989168"/>
      <w:r>
        <w:rPr>
          <w:rFonts w:ascii="宋体" w:eastAsia="宋体" w:hAnsi="宋体" w:cs="宋体"/>
          <w:b/>
          <w:bCs/>
          <w:szCs w:val="21"/>
        </w:rPr>
        <w:t>（2） 使用权资产的减值测试情况</w:t>
      </w:r>
      <w:bookmarkEnd w:id="278"/>
    </w:p>
    <w:p w:rsidR="00BA0365" w:rsidRPr="001112C2" w:rsidRDefault="008D4B2E" w:rsidP="001112C2">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w:t>
      </w:r>
      <w:r w:rsidR="001112C2">
        <w:rPr>
          <w:rFonts w:ascii="宋体" w:eastAsia="宋体" w:hAnsi="宋体" w:cs="宋体"/>
          <w:sz w:val="18"/>
          <w:szCs w:val="18"/>
        </w:rPr>
        <w:t>适用</w:t>
      </w:r>
    </w:p>
    <w:p w:rsidR="00BA0365" w:rsidRDefault="008D4B2E">
      <w:pPr>
        <w:pStyle w:val="3"/>
        <w:spacing w:line="280" w:lineRule="exact"/>
        <w:jc w:val="left"/>
        <w:rPr>
          <w:rFonts w:ascii="宋体" w:hAnsi="宋体" w:cs="宋体"/>
          <w:b/>
          <w:bCs/>
        </w:rPr>
      </w:pPr>
      <w:bookmarkStart w:id="279" w:name="_Toc989169"/>
      <w:r>
        <w:rPr>
          <w:rFonts w:ascii="宋体" w:hAnsi="宋体" w:cs="宋体"/>
          <w:b/>
          <w:bCs/>
        </w:rPr>
        <w:t>16、无形资产</w:t>
      </w:r>
      <w:bookmarkEnd w:id="279"/>
    </w:p>
    <w:p w:rsidR="00BA0365" w:rsidRDefault="008D4B2E">
      <w:pPr>
        <w:keepNext/>
        <w:keepLines/>
        <w:spacing w:before="300" w:after="300" w:line="280" w:lineRule="exact"/>
        <w:outlineLvl w:val="3"/>
        <w:rPr>
          <w:rFonts w:ascii="宋体" w:eastAsia="宋体" w:hAnsi="宋体" w:cs="宋体"/>
          <w:b/>
          <w:bCs/>
          <w:szCs w:val="21"/>
        </w:rPr>
      </w:pPr>
      <w:bookmarkStart w:id="280" w:name="_Toc989170"/>
      <w:r>
        <w:rPr>
          <w:rFonts w:ascii="宋体" w:eastAsia="宋体" w:hAnsi="宋体" w:cs="宋体"/>
          <w:b/>
          <w:bCs/>
          <w:szCs w:val="21"/>
        </w:rPr>
        <w:t>（1） 无形资产情况</w:t>
      </w:r>
      <w:bookmarkEnd w:id="28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21"/>
        <w:gridCol w:w="1593"/>
      </w:tblGrid>
      <w:tr w:rsidR="00157EA0" w:rsidTr="00152E2B">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土地使用权</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专利权</w:t>
            </w:r>
          </w:p>
        </w:tc>
        <w:tc>
          <w:tcPr>
            <w:tcW w:w="160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非专利技术</w:t>
            </w:r>
          </w:p>
        </w:tc>
        <w:tc>
          <w:tcPr>
            <w:tcW w:w="162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软件及其他</w:t>
            </w:r>
          </w:p>
        </w:tc>
        <w:tc>
          <w:tcPr>
            <w:tcW w:w="159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一、账面原值</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354,467,995.84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153,941,654.95</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43,158,409.98</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64,272,738.61</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615,840,799.38</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54,843,732.45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6,056,528.97</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60,900,261.42</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（1）购置</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54,843,732.45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6,056,528.97</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60,900,261.42</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（2）内部研发</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（3）企业合并增加</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133,009.10</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13,132,976.86</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133,009.10</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133,009.10</w:t>
            </w:r>
          </w:p>
        </w:tc>
      </w:tr>
      <w:tr w:rsidR="00157EA0" w:rsidTr="00152E2B">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（2）处置子公司减少</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12,999,967.76</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396,311,760.53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153,941,654.95</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43,158,409.98</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70,196,258.48</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663,608,083.94</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二、累计摊销</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51,000,962.64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71,421,903.71</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18,875,300.68</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36,616,657.02</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177,914,824.05</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8,141,217.98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2,201,381.83</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2,577,227.36</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4,908,958.75</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17,828,785.92</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（1）计提</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8,141,217.98</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2,201,381.83</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2,577,227.36</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4,908,958.75</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17,828,785.92</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368,332.41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368,332.41</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2E2B">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（2）处置子公司减少</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368,332.41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368,332.41</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58,773,848.21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73,623,285.54</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21,452,528.04</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41,525,615.77</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195,375,277.56</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三、减值准备</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1.期初余额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65,410,480.88</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65,410,480.88</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2.本期增加金额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lastRenderedPageBreak/>
              <w:t>（1）计提</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3.本期减少金额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400" w:firstLine="720"/>
              <w:rPr>
                <w:rFonts w:ascii="宋体" w:eastAsia="宋体" w:hAnsi="宋体" w:cs="宋体"/>
                <w:sz w:val="18"/>
                <w:szCs w:val="18"/>
              </w:rPr>
            </w:pPr>
            <w:r>
              <w:rPr>
                <w:rFonts w:ascii="宋体" w:eastAsia="宋体" w:hAnsi="宋体" w:cs="宋体"/>
                <w:sz w:val="18"/>
                <w:szCs w:val="18"/>
              </w:rPr>
              <w:t>（1）处置</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4.期末余额</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65,410,480.88</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65,410,480.88</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1.期末账面价值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337,537,912.32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14,907,888.53</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21,705,881.94</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28,670,642.71</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402,822,325.50</w:t>
            </w:r>
          </w:p>
        </w:tc>
      </w:tr>
      <w:tr w:rsidR="00157EA0" w:rsidTr="001112C2">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2.期初账面价值</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303,467,033.20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17,109,270.36</w:t>
            </w:r>
          </w:p>
        </w:tc>
        <w:tc>
          <w:tcPr>
            <w:tcW w:w="160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24,283,109.30</w:t>
            </w:r>
          </w:p>
        </w:tc>
        <w:tc>
          <w:tcPr>
            <w:tcW w:w="162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27,656,081.59</w:t>
            </w: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372,515,494.45</w:t>
            </w:r>
          </w:p>
        </w:tc>
      </w:tr>
    </w:tbl>
    <w:p w:rsidR="00BA0365" w:rsidRDefault="008D4B2E">
      <w:pPr>
        <w:keepNext/>
        <w:keepLines/>
        <w:spacing w:before="300" w:after="300" w:line="280" w:lineRule="exact"/>
        <w:outlineLvl w:val="3"/>
        <w:rPr>
          <w:rFonts w:ascii="宋体" w:eastAsia="宋体" w:hAnsi="宋体" w:cs="宋体"/>
          <w:b/>
          <w:bCs/>
          <w:szCs w:val="21"/>
        </w:rPr>
      </w:pPr>
      <w:bookmarkStart w:id="281" w:name="_Toc989171"/>
      <w:r>
        <w:rPr>
          <w:rFonts w:ascii="宋体" w:eastAsia="宋体" w:hAnsi="宋体" w:cs="宋体"/>
          <w:b/>
          <w:bCs/>
          <w:szCs w:val="21"/>
        </w:rPr>
        <w:t>（2） 无形资产的减值测试情况</w:t>
      </w:r>
      <w:bookmarkEnd w:id="28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282" w:name="_Toc989172"/>
      <w:r>
        <w:rPr>
          <w:rFonts w:ascii="宋体" w:hAnsi="宋体" w:cs="宋体"/>
          <w:b/>
          <w:bCs/>
        </w:rPr>
        <w:t>17、商誉</w:t>
      </w:r>
      <w:bookmarkEnd w:id="282"/>
    </w:p>
    <w:p w:rsidR="00BA0365" w:rsidRDefault="008D4B2E">
      <w:pPr>
        <w:keepNext/>
        <w:keepLines/>
        <w:spacing w:before="300" w:after="300" w:line="280" w:lineRule="exact"/>
        <w:outlineLvl w:val="3"/>
        <w:rPr>
          <w:rFonts w:ascii="宋体" w:eastAsia="宋体" w:hAnsi="宋体" w:cs="宋体"/>
          <w:b/>
          <w:bCs/>
          <w:szCs w:val="21"/>
        </w:rPr>
      </w:pPr>
      <w:bookmarkStart w:id="283" w:name="_Toc989173"/>
      <w:r>
        <w:rPr>
          <w:rFonts w:ascii="宋体" w:eastAsia="宋体" w:hAnsi="宋体" w:cs="宋体"/>
          <w:b/>
          <w:bCs/>
          <w:szCs w:val="21"/>
        </w:rPr>
        <w:t>（1） 商誉账面原值</w:t>
      </w:r>
      <w:bookmarkEnd w:id="28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802"/>
        <w:gridCol w:w="1701"/>
        <w:gridCol w:w="992"/>
        <w:gridCol w:w="850"/>
        <w:gridCol w:w="851"/>
        <w:gridCol w:w="850"/>
        <w:gridCol w:w="1593"/>
      </w:tblGrid>
      <w:tr w:rsidR="00157EA0" w:rsidTr="001112C2">
        <w:trPr>
          <w:trHeight w:val="240"/>
        </w:trPr>
        <w:tc>
          <w:tcPr>
            <w:tcW w:w="28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被投资单位名称或形成商誉的事项</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8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70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152E2B">
        <w:trPr>
          <w:trHeight w:val="240"/>
        </w:trPr>
        <w:tc>
          <w:tcPr>
            <w:tcW w:w="28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企业合并形成的</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其他方式形成</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处置</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其他方式减少</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DavianEnterprisesLLC</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7,362,583.28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7,362,583.28</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青岛科捷自动化设备有限公司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1,178,542.58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1,178,542.58</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北京敬业机械设备有限公司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62,895,120.19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62,895,120.19</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169,607,663.03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169,607,663.03</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青岛睿诚新能源有限公司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529,195.47</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529,195.47</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241,573,104.55</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241,573,104.55</w:t>
            </w:r>
          </w:p>
        </w:tc>
      </w:tr>
    </w:tbl>
    <w:p w:rsidR="00BA0365" w:rsidRDefault="008D4B2E">
      <w:pPr>
        <w:keepNext/>
        <w:keepLines/>
        <w:spacing w:before="300" w:after="300" w:line="280" w:lineRule="exact"/>
        <w:outlineLvl w:val="3"/>
        <w:rPr>
          <w:rFonts w:ascii="宋体" w:eastAsia="宋体" w:hAnsi="宋体" w:cs="宋体"/>
          <w:b/>
          <w:bCs/>
          <w:szCs w:val="21"/>
        </w:rPr>
      </w:pPr>
      <w:bookmarkStart w:id="284" w:name="_Toc989174"/>
      <w:r>
        <w:rPr>
          <w:rFonts w:ascii="宋体" w:eastAsia="宋体" w:hAnsi="宋体" w:cs="宋体"/>
          <w:b/>
          <w:bCs/>
          <w:szCs w:val="21"/>
        </w:rPr>
        <w:t>（2） 商誉减值准备</w:t>
      </w:r>
      <w:bookmarkEnd w:id="28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802"/>
        <w:gridCol w:w="1701"/>
        <w:gridCol w:w="992"/>
        <w:gridCol w:w="850"/>
        <w:gridCol w:w="851"/>
        <w:gridCol w:w="850"/>
        <w:gridCol w:w="1593"/>
      </w:tblGrid>
      <w:tr w:rsidR="00157EA0" w:rsidTr="001112C2">
        <w:trPr>
          <w:trHeight w:val="240"/>
        </w:trPr>
        <w:tc>
          <w:tcPr>
            <w:tcW w:w="280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被投资单位名称或形成商誉的事项</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8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70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1112C2">
        <w:trPr>
          <w:trHeight w:val="240"/>
        </w:trPr>
        <w:tc>
          <w:tcPr>
            <w:tcW w:w="280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center"/>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处置</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center"/>
              <w:rPr>
                <w:rFonts w:ascii="宋体" w:eastAsia="宋体" w:hAnsi="宋体" w:cs="宋体"/>
                <w:sz w:val="18"/>
                <w:szCs w:val="18"/>
              </w:rPr>
            </w:pP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DavianEnterprisesLLC</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7,362,583.28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7,362,583.28</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青岛科捷自动化设备有限公司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1,178,542.58</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1,178,542.58</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北京敬业机械设备有限公司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62,895,120.19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62,895,120.19</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抚顺伊科思新材料有限公司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169,607,663.03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169,607,663.03</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青岛睿诚新能源有限公司</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529,195.47</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529,195.47</w:t>
            </w:r>
          </w:p>
        </w:tc>
      </w:tr>
      <w:tr w:rsidR="00157EA0" w:rsidTr="001112C2">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241,573,104.55</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241,573,104.55</w:t>
            </w:r>
          </w:p>
        </w:tc>
      </w:tr>
    </w:tbl>
    <w:p w:rsidR="00BA0365" w:rsidRDefault="008D4B2E">
      <w:pPr>
        <w:keepNext/>
        <w:keepLines/>
        <w:spacing w:before="300" w:after="300" w:line="280" w:lineRule="exact"/>
        <w:outlineLvl w:val="3"/>
        <w:rPr>
          <w:rFonts w:ascii="宋体" w:eastAsia="宋体" w:hAnsi="宋体" w:cs="宋体"/>
          <w:b/>
          <w:bCs/>
          <w:szCs w:val="21"/>
        </w:rPr>
      </w:pPr>
      <w:bookmarkStart w:id="285" w:name="_Toc989175"/>
      <w:r>
        <w:rPr>
          <w:rFonts w:ascii="宋体" w:eastAsia="宋体" w:hAnsi="宋体" w:cs="宋体"/>
          <w:b/>
          <w:bCs/>
          <w:szCs w:val="21"/>
        </w:rPr>
        <w:t>（3） 商誉所在资产组或资产组组合的相关信息</w:t>
      </w:r>
      <w:bookmarkEnd w:id="285"/>
    </w:p>
    <w:p w:rsidR="00BA0365" w:rsidRDefault="008D4B2E" w:rsidP="00B818D2">
      <w:pPr>
        <w:rPr>
          <w:rFonts w:ascii="宋体" w:eastAsia="宋体" w:hAnsi="宋体" w:cs="宋体"/>
          <w:sz w:val="18"/>
          <w:szCs w:val="18"/>
        </w:rPr>
      </w:pPr>
      <w:r>
        <w:rPr>
          <w:rFonts w:ascii="宋体" w:eastAsia="宋体" w:hAnsi="宋体" w:cs="宋体"/>
          <w:sz w:val="18"/>
          <w:szCs w:val="18"/>
        </w:rPr>
        <w:t>其他说明</w:t>
      </w:r>
    </w:p>
    <w:p w:rsidR="008D4B2E" w:rsidRPr="00FC6EB6" w:rsidRDefault="008D4B2E" w:rsidP="00B818D2">
      <w:pPr>
        <w:divId w:val="1243877330"/>
        <w:rPr>
          <w:rFonts w:ascii="宋体" w:eastAsia="宋体" w:hAnsi="宋体" w:cs="宋体"/>
          <w:sz w:val="18"/>
          <w:szCs w:val="18"/>
        </w:rPr>
      </w:pPr>
      <w:r w:rsidRPr="00FC6EB6">
        <w:rPr>
          <w:rFonts w:ascii="宋体" w:eastAsia="宋体" w:hAnsi="宋体" w:cs="宋体" w:hint="eastAsia"/>
          <w:sz w:val="18"/>
          <w:szCs w:val="18"/>
        </w:rPr>
        <w:t>上述公司商誉减值测试的资产组或资产组组合的构成情况如下：</w:t>
      </w:r>
    </w:p>
    <w:p w:rsidR="008D4B2E" w:rsidRPr="00FC6EB6" w:rsidRDefault="008D4B2E" w:rsidP="00BB1593">
      <w:pPr>
        <w:ind w:firstLineChars="200" w:firstLine="360"/>
        <w:divId w:val="1243877330"/>
        <w:rPr>
          <w:rFonts w:ascii="宋体" w:eastAsia="宋体" w:hAnsi="宋体" w:cs="宋体"/>
          <w:sz w:val="18"/>
          <w:szCs w:val="18"/>
        </w:rPr>
      </w:pPr>
      <w:r w:rsidRPr="00FC6EB6">
        <w:rPr>
          <w:rFonts w:ascii="宋体" w:eastAsia="宋体" w:hAnsi="宋体" w:cs="宋体" w:hint="eastAsia"/>
          <w:sz w:val="18"/>
          <w:szCs w:val="18"/>
        </w:rPr>
        <w:t>①抚顺伊科思本期期末资产组的认定范围，是其形成商誉的资产</w:t>
      </w:r>
      <w:proofErr w:type="gramStart"/>
      <w:r w:rsidRPr="00FC6EB6">
        <w:rPr>
          <w:rFonts w:ascii="宋体" w:eastAsia="宋体" w:hAnsi="宋体" w:cs="宋体" w:hint="eastAsia"/>
          <w:sz w:val="18"/>
          <w:szCs w:val="18"/>
        </w:rPr>
        <w:t>组涉及</w:t>
      </w:r>
      <w:proofErr w:type="gramEnd"/>
      <w:r w:rsidRPr="00FC6EB6">
        <w:rPr>
          <w:rFonts w:ascii="宋体" w:eastAsia="宋体" w:hAnsi="宋体" w:cs="宋体" w:hint="eastAsia"/>
          <w:sz w:val="18"/>
          <w:szCs w:val="18"/>
        </w:rPr>
        <w:t>的资产，该资产组与购买日及以前年度商誉减</w:t>
      </w:r>
      <w:r w:rsidRPr="00FC6EB6">
        <w:rPr>
          <w:rFonts w:ascii="宋体" w:eastAsia="宋体" w:hAnsi="宋体" w:cs="宋体" w:hint="eastAsia"/>
          <w:sz w:val="18"/>
          <w:szCs w:val="18"/>
        </w:rPr>
        <w:lastRenderedPageBreak/>
        <w:t>值测试时所测试的资产组一致。评估范围包括无形资产、固定资产等。</w:t>
      </w:r>
    </w:p>
    <w:p w:rsidR="008D4B2E" w:rsidRPr="00FC6EB6" w:rsidRDefault="008D4B2E" w:rsidP="00BB1593">
      <w:pPr>
        <w:ind w:firstLineChars="200" w:firstLine="360"/>
        <w:divId w:val="1243877330"/>
        <w:rPr>
          <w:rFonts w:ascii="宋体" w:eastAsia="宋体" w:hAnsi="宋体" w:cs="宋体"/>
          <w:sz w:val="18"/>
          <w:szCs w:val="18"/>
        </w:rPr>
      </w:pPr>
      <w:r w:rsidRPr="00FC6EB6">
        <w:rPr>
          <w:rFonts w:ascii="宋体" w:eastAsia="宋体" w:hAnsi="宋体" w:cs="宋体" w:hint="eastAsia"/>
          <w:sz w:val="18"/>
          <w:szCs w:val="18"/>
        </w:rPr>
        <w:t>②敬业机械本期期末资产组的认定范围，是其形成商誉的资产</w:t>
      </w:r>
      <w:proofErr w:type="gramStart"/>
      <w:r w:rsidRPr="00FC6EB6">
        <w:rPr>
          <w:rFonts w:ascii="宋体" w:eastAsia="宋体" w:hAnsi="宋体" w:cs="宋体" w:hint="eastAsia"/>
          <w:sz w:val="18"/>
          <w:szCs w:val="18"/>
        </w:rPr>
        <w:t>组涉及</w:t>
      </w:r>
      <w:proofErr w:type="gramEnd"/>
      <w:r w:rsidRPr="00FC6EB6">
        <w:rPr>
          <w:rFonts w:ascii="宋体" w:eastAsia="宋体" w:hAnsi="宋体" w:cs="宋体" w:hint="eastAsia"/>
          <w:sz w:val="18"/>
          <w:szCs w:val="18"/>
        </w:rPr>
        <w:t>的资产，该资产组与购买日及以前年度商誉减值测试时所测试的资产组一致。评估范围包括无形资产、固定资产等。</w:t>
      </w:r>
    </w:p>
    <w:p w:rsidR="008D4B2E" w:rsidRPr="00FC6EB6" w:rsidRDefault="008D4B2E" w:rsidP="00BB1593">
      <w:pPr>
        <w:ind w:firstLineChars="200" w:firstLine="360"/>
        <w:divId w:val="1243877330"/>
        <w:rPr>
          <w:rFonts w:ascii="宋体" w:eastAsia="宋体" w:hAnsi="宋体" w:cs="宋体"/>
          <w:sz w:val="18"/>
          <w:szCs w:val="18"/>
        </w:rPr>
      </w:pPr>
      <w:r w:rsidRPr="00FC6EB6">
        <w:rPr>
          <w:rFonts w:ascii="宋体" w:eastAsia="宋体" w:hAnsi="宋体" w:cs="宋体" w:hint="eastAsia"/>
          <w:sz w:val="18"/>
          <w:szCs w:val="18"/>
        </w:rPr>
        <w:t>③科捷自动化本期期末资产组的认定范围，是其形成商誉的资产</w:t>
      </w:r>
      <w:proofErr w:type="gramStart"/>
      <w:r w:rsidRPr="00FC6EB6">
        <w:rPr>
          <w:rFonts w:ascii="宋体" w:eastAsia="宋体" w:hAnsi="宋体" w:cs="宋体" w:hint="eastAsia"/>
          <w:sz w:val="18"/>
          <w:szCs w:val="18"/>
        </w:rPr>
        <w:t>组涉及</w:t>
      </w:r>
      <w:proofErr w:type="gramEnd"/>
      <w:r w:rsidRPr="00FC6EB6">
        <w:rPr>
          <w:rFonts w:ascii="宋体" w:eastAsia="宋体" w:hAnsi="宋体" w:cs="宋体" w:hint="eastAsia"/>
          <w:sz w:val="18"/>
          <w:szCs w:val="18"/>
        </w:rPr>
        <w:t>的资产，该资产组与购买日及以前年度商誉减值测试时所测试的资产组一致。</w:t>
      </w:r>
    </w:p>
    <w:p w:rsidR="008D4B2E" w:rsidRPr="00FC6EB6" w:rsidRDefault="008D4B2E" w:rsidP="00BB1593">
      <w:pPr>
        <w:ind w:firstLineChars="200" w:firstLine="360"/>
        <w:divId w:val="1243877330"/>
        <w:rPr>
          <w:rFonts w:ascii="宋体" w:eastAsia="宋体" w:hAnsi="宋体" w:cs="宋体"/>
          <w:sz w:val="18"/>
          <w:szCs w:val="18"/>
        </w:rPr>
      </w:pPr>
      <w:r w:rsidRPr="00FC6EB6">
        <w:rPr>
          <w:rFonts w:ascii="宋体" w:eastAsia="宋体" w:hAnsi="宋体" w:cs="宋体" w:hint="eastAsia"/>
          <w:sz w:val="18"/>
          <w:szCs w:val="18"/>
        </w:rPr>
        <w:t>④</w:t>
      </w:r>
      <w:r w:rsidRPr="00FC6EB6">
        <w:rPr>
          <w:rFonts w:ascii="宋体" w:eastAsia="宋体" w:hAnsi="宋体" w:cs="宋体"/>
          <w:sz w:val="18"/>
          <w:szCs w:val="18"/>
        </w:rPr>
        <w:t>DavianEnterprisesLLC</w:t>
      </w:r>
      <w:r w:rsidRPr="00FC6EB6">
        <w:rPr>
          <w:rFonts w:ascii="宋体" w:eastAsia="宋体" w:hAnsi="宋体" w:cs="宋体" w:hint="eastAsia"/>
          <w:sz w:val="18"/>
          <w:szCs w:val="18"/>
        </w:rPr>
        <w:t>本期期末资产组的认定范围，是其形成商誉的资产</w:t>
      </w:r>
      <w:proofErr w:type="gramStart"/>
      <w:r w:rsidRPr="00FC6EB6">
        <w:rPr>
          <w:rFonts w:ascii="宋体" w:eastAsia="宋体" w:hAnsi="宋体" w:cs="宋体" w:hint="eastAsia"/>
          <w:sz w:val="18"/>
          <w:szCs w:val="18"/>
        </w:rPr>
        <w:t>组涉及</w:t>
      </w:r>
      <w:proofErr w:type="gramEnd"/>
      <w:r w:rsidRPr="00FC6EB6">
        <w:rPr>
          <w:rFonts w:ascii="宋体" w:eastAsia="宋体" w:hAnsi="宋体" w:cs="宋体" w:hint="eastAsia"/>
          <w:sz w:val="18"/>
          <w:szCs w:val="18"/>
        </w:rPr>
        <w:t>的资产，该资产组与购买日及以前年度商誉减值测试时所测试的资产组一致。</w:t>
      </w:r>
    </w:p>
    <w:p w:rsidR="008D4B2E" w:rsidRPr="00FC6EB6" w:rsidRDefault="008D4B2E" w:rsidP="00BB1593">
      <w:pPr>
        <w:ind w:firstLineChars="200" w:firstLine="360"/>
        <w:divId w:val="1243877330"/>
        <w:rPr>
          <w:rFonts w:ascii="宋体" w:eastAsia="宋体" w:hAnsi="宋体" w:cs="宋体"/>
          <w:sz w:val="18"/>
          <w:szCs w:val="18"/>
        </w:rPr>
      </w:pPr>
      <w:r w:rsidRPr="00FC6EB6">
        <w:rPr>
          <w:rFonts w:ascii="宋体" w:eastAsia="宋体" w:hAnsi="宋体" w:cs="宋体" w:hint="eastAsia"/>
          <w:sz w:val="18"/>
          <w:szCs w:val="18"/>
        </w:rPr>
        <w:t>上述</w:t>
      </w:r>
      <w:r w:rsidRPr="00FC6EB6">
        <w:rPr>
          <w:rFonts w:ascii="宋体" w:eastAsia="宋体" w:hAnsi="宋体" w:cs="宋体"/>
          <w:sz w:val="18"/>
          <w:szCs w:val="18"/>
        </w:rPr>
        <w:t>4</w:t>
      </w:r>
      <w:r w:rsidRPr="00FC6EB6">
        <w:rPr>
          <w:rFonts w:ascii="宋体" w:eastAsia="宋体" w:hAnsi="宋体" w:cs="宋体" w:hint="eastAsia"/>
          <w:sz w:val="18"/>
          <w:szCs w:val="18"/>
        </w:rPr>
        <w:t>个资产组的可回收金额中，抚顺伊科思资产组及敬业机械资产组的可回收金额分别利用了评估报告的评估结果。</w:t>
      </w:r>
    </w:p>
    <w:p w:rsidR="00BA0365" w:rsidRDefault="008D4B2E">
      <w:pPr>
        <w:pStyle w:val="3"/>
        <w:spacing w:line="280" w:lineRule="exact"/>
        <w:jc w:val="left"/>
        <w:rPr>
          <w:rFonts w:ascii="宋体" w:hAnsi="宋体" w:cs="宋体"/>
          <w:b/>
          <w:bCs/>
        </w:rPr>
      </w:pPr>
      <w:bookmarkStart w:id="286" w:name="_Toc989176"/>
      <w:r>
        <w:rPr>
          <w:rFonts w:ascii="宋体" w:hAnsi="宋体" w:cs="宋体"/>
          <w:b/>
          <w:bCs/>
        </w:rPr>
        <w:t>18、长期待摊费用</w:t>
      </w:r>
      <w:bookmarkEnd w:id="28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07"/>
        <w:gridCol w:w="1607"/>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本期摊销金额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其他减少金额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装修费</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2,587,389.10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634,210.00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611,521.93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2,610,077.17</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2,587,389.10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634,210.00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611,521.93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2,610,077.17</w:t>
            </w:r>
          </w:p>
        </w:tc>
      </w:tr>
    </w:tbl>
    <w:p w:rsidR="00BA0365" w:rsidRDefault="008D4B2E">
      <w:pPr>
        <w:pStyle w:val="3"/>
        <w:spacing w:line="280" w:lineRule="exact"/>
        <w:jc w:val="left"/>
        <w:rPr>
          <w:rFonts w:ascii="宋体" w:hAnsi="宋体" w:cs="宋体"/>
          <w:b/>
          <w:bCs/>
        </w:rPr>
      </w:pPr>
      <w:bookmarkStart w:id="287" w:name="_Toc989177"/>
      <w:r>
        <w:rPr>
          <w:rFonts w:ascii="宋体" w:hAnsi="宋体" w:cs="宋体"/>
          <w:b/>
          <w:bCs/>
        </w:rPr>
        <w:t>19、递延所得税资产/递延所得税负债</w:t>
      </w:r>
      <w:bookmarkEnd w:id="287"/>
    </w:p>
    <w:p w:rsidR="00BA0365" w:rsidRDefault="008D4B2E">
      <w:pPr>
        <w:keepNext/>
        <w:keepLines/>
        <w:spacing w:before="300" w:after="300" w:line="280" w:lineRule="exact"/>
        <w:outlineLvl w:val="3"/>
        <w:rPr>
          <w:rFonts w:ascii="宋体" w:eastAsia="宋体" w:hAnsi="宋体" w:cs="宋体"/>
          <w:b/>
          <w:bCs/>
          <w:szCs w:val="21"/>
        </w:rPr>
      </w:pPr>
      <w:bookmarkStart w:id="288" w:name="_Toc989178"/>
      <w:r>
        <w:rPr>
          <w:rFonts w:ascii="宋体" w:eastAsia="宋体" w:hAnsi="宋体" w:cs="宋体"/>
          <w:b/>
          <w:bCs/>
          <w:szCs w:val="21"/>
        </w:rPr>
        <w:t>（1） 未经</w:t>
      </w:r>
      <w:proofErr w:type="gramStart"/>
      <w:r>
        <w:rPr>
          <w:rFonts w:ascii="宋体" w:eastAsia="宋体" w:hAnsi="宋体" w:cs="宋体"/>
          <w:b/>
          <w:bCs/>
          <w:szCs w:val="21"/>
        </w:rPr>
        <w:t>抵销</w:t>
      </w:r>
      <w:proofErr w:type="gramEnd"/>
      <w:r>
        <w:rPr>
          <w:rFonts w:ascii="宋体" w:eastAsia="宋体" w:hAnsi="宋体" w:cs="宋体"/>
          <w:b/>
          <w:bCs/>
          <w:szCs w:val="21"/>
        </w:rPr>
        <w:t>的递延所得税资产</w:t>
      </w:r>
      <w:bookmarkEnd w:id="28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可抵扣暂时性差异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资产减值准备</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926,483,187.40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140,670,804.26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913,096,754.29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137,872,013.50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内部交易未实现利润</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27,741,768.79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4,161,265.32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28,336,691.00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4,250,503.65</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可抵扣亏损</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123,173,704.66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18,476,055.70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预提费用</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31,834,601.30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4,775,190.19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36,518,152.16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5,654,003.98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预计负债</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3,451,850.13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20,227,132.94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3,151,590.99</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递延收益</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26,593,107.96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5,145,602.15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24,315,531.12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4,828,487.94</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股权激励费用</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99,826,273.16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16,428,598.72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84,570,207.92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13,431,657.77</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租赁确认</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1,840,355.24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287,906.59</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公允价值变动</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1,145,176.92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171,776.54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963,516.94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144,527.54</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1,259,810,154.39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193,281,143.01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1,109,868,341.61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169,620,691.96</w:t>
            </w:r>
          </w:p>
        </w:tc>
      </w:tr>
    </w:tbl>
    <w:p w:rsidR="00BA0365" w:rsidRDefault="008D4B2E">
      <w:pPr>
        <w:keepNext/>
        <w:keepLines/>
        <w:spacing w:before="300" w:after="300" w:line="280" w:lineRule="exact"/>
        <w:outlineLvl w:val="3"/>
        <w:rPr>
          <w:rFonts w:ascii="宋体" w:eastAsia="宋体" w:hAnsi="宋体" w:cs="宋体"/>
          <w:b/>
          <w:bCs/>
          <w:szCs w:val="21"/>
        </w:rPr>
      </w:pPr>
      <w:bookmarkStart w:id="289" w:name="_Toc989179"/>
      <w:r>
        <w:rPr>
          <w:rFonts w:ascii="宋体" w:eastAsia="宋体" w:hAnsi="宋体" w:cs="宋体"/>
          <w:b/>
          <w:bCs/>
          <w:szCs w:val="21"/>
        </w:rPr>
        <w:t>（2） 未经</w:t>
      </w:r>
      <w:proofErr w:type="gramStart"/>
      <w:r>
        <w:rPr>
          <w:rFonts w:ascii="宋体" w:eastAsia="宋体" w:hAnsi="宋体" w:cs="宋体"/>
          <w:b/>
          <w:bCs/>
          <w:szCs w:val="21"/>
        </w:rPr>
        <w:t>抵销</w:t>
      </w:r>
      <w:proofErr w:type="gramEnd"/>
      <w:r>
        <w:rPr>
          <w:rFonts w:ascii="宋体" w:eastAsia="宋体" w:hAnsi="宋体" w:cs="宋体"/>
          <w:b/>
          <w:bCs/>
          <w:szCs w:val="21"/>
        </w:rPr>
        <w:t>的递延所得税负债</w:t>
      </w:r>
      <w:bookmarkEnd w:id="28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应纳税暂时性差异</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递延所得税负债</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企业合并资产评估增值</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370,961.13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55,644.17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1,546,327.60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231,949.14</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其他权益工具投资公允价值变动</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54,229,990.39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13,752,441.56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80,820,000.00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20,482,000.00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理财产品应计利息</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413,930.71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37,258.18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2,505,000.00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375,750.00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固定资产加速折旧</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159,839,484.99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24,230,967.01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40,844,007.27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6,507,114.37</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业绩补偿</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28,390,100.00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4,258,515.00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28,390,100.00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4,258,515.00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租赁确认</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2,667,171.75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376,295.86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245,911,638.97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42,711,121.78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154,105,434.87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31,855,328.51</w:t>
            </w:r>
          </w:p>
        </w:tc>
      </w:tr>
    </w:tbl>
    <w:p w:rsidR="00BA0365" w:rsidRDefault="008D4B2E">
      <w:pPr>
        <w:keepNext/>
        <w:keepLines/>
        <w:spacing w:before="300" w:after="300" w:line="280" w:lineRule="exact"/>
        <w:outlineLvl w:val="3"/>
        <w:rPr>
          <w:rFonts w:ascii="宋体" w:eastAsia="宋体" w:hAnsi="宋体" w:cs="宋体"/>
          <w:b/>
          <w:bCs/>
          <w:szCs w:val="21"/>
        </w:rPr>
      </w:pPr>
      <w:bookmarkStart w:id="290" w:name="_Toc989180"/>
      <w:r>
        <w:rPr>
          <w:rFonts w:ascii="宋体" w:eastAsia="宋体" w:hAnsi="宋体" w:cs="宋体"/>
          <w:b/>
          <w:bCs/>
          <w:szCs w:val="21"/>
        </w:rPr>
        <w:t>（3） 以</w:t>
      </w:r>
      <w:proofErr w:type="gramStart"/>
      <w:r>
        <w:rPr>
          <w:rFonts w:ascii="宋体" w:eastAsia="宋体" w:hAnsi="宋体" w:cs="宋体"/>
          <w:b/>
          <w:bCs/>
          <w:szCs w:val="21"/>
        </w:rPr>
        <w:t>抵销</w:t>
      </w:r>
      <w:proofErr w:type="gramEnd"/>
      <w:r>
        <w:rPr>
          <w:rFonts w:ascii="宋体" w:eastAsia="宋体" w:hAnsi="宋体" w:cs="宋体"/>
          <w:b/>
          <w:bCs/>
          <w:szCs w:val="21"/>
        </w:rPr>
        <w:t>后净额列示的递延所得税资产或负债</w:t>
      </w:r>
      <w:bookmarkEnd w:id="29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递延所得税资产和负债期末互</w:t>
            </w:r>
            <w:proofErr w:type="gramStart"/>
            <w:r>
              <w:rPr>
                <w:rFonts w:ascii="宋体" w:eastAsia="宋体" w:hAnsi="宋体" w:cs="宋体"/>
                <w:sz w:val="18"/>
                <w:szCs w:val="18"/>
              </w:rPr>
              <w:t>抵金额</w:t>
            </w:r>
            <w:proofErr w:type="gramEnd"/>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proofErr w:type="gramStart"/>
            <w:r>
              <w:rPr>
                <w:rFonts w:ascii="宋体" w:eastAsia="宋体" w:hAnsi="宋体" w:cs="宋体"/>
                <w:sz w:val="18"/>
                <w:szCs w:val="18"/>
              </w:rPr>
              <w:t>抵销后递延</w:t>
            </w:r>
            <w:proofErr w:type="gramEnd"/>
            <w:r>
              <w:rPr>
                <w:rFonts w:ascii="宋体" w:eastAsia="宋体" w:hAnsi="宋体" w:cs="宋体"/>
                <w:sz w:val="18"/>
                <w:szCs w:val="18"/>
              </w:rPr>
              <w:t>所得税资产或负债期末余额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递延所得税资产和负债期</w:t>
            </w:r>
            <w:proofErr w:type="gramStart"/>
            <w:r>
              <w:rPr>
                <w:rFonts w:ascii="宋体" w:eastAsia="宋体" w:hAnsi="宋体" w:cs="宋体"/>
                <w:sz w:val="18"/>
                <w:szCs w:val="18"/>
              </w:rPr>
              <w:t>初互抵金额</w:t>
            </w:r>
            <w:proofErr w:type="gramEnd"/>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proofErr w:type="gramStart"/>
            <w:r>
              <w:rPr>
                <w:rFonts w:ascii="宋体" w:eastAsia="宋体" w:hAnsi="宋体" w:cs="宋体"/>
                <w:sz w:val="18"/>
                <w:szCs w:val="18"/>
              </w:rPr>
              <w:t>抵销后递延</w:t>
            </w:r>
            <w:proofErr w:type="gramEnd"/>
            <w:r>
              <w:rPr>
                <w:rFonts w:ascii="宋体" w:eastAsia="宋体" w:hAnsi="宋体" w:cs="宋体"/>
                <w:sz w:val="18"/>
                <w:szCs w:val="18"/>
              </w:rPr>
              <w:t>所得税资产或负债期初余额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递延所得税资产</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193,281,143.01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169,620,691.96</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递延所得税负债</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42,711,121.78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31,855,328.51</w:t>
            </w:r>
          </w:p>
        </w:tc>
      </w:tr>
    </w:tbl>
    <w:p w:rsidR="00BA0365" w:rsidRDefault="008D4B2E">
      <w:pPr>
        <w:pStyle w:val="3"/>
        <w:spacing w:line="280" w:lineRule="exact"/>
        <w:jc w:val="left"/>
        <w:rPr>
          <w:rFonts w:ascii="宋体" w:hAnsi="宋体" w:cs="宋体"/>
          <w:b/>
          <w:bCs/>
        </w:rPr>
      </w:pPr>
      <w:bookmarkStart w:id="291" w:name="_Toc989181"/>
      <w:r>
        <w:rPr>
          <w:rFonts w:ascii="宋体" w:hAnsi="宋体" w:cs="宋体"/>
          <w:b/>
          <w:bCs/>
        </w:rPr>
        <w:t>20、其他非流动资产</w:t>
      </w:r>
      <w:bookmarkEnd w:id="29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51"/>
        <w:gridCol w:w="1418"/>
        <w:gridCol w:w="992"/>
        <w:gridCol w:w="1417"/>
        <w:gridCol w:w="1418"/>
        <w:gridCol w:w="992"/>
        <w:gridCol w:w="1451"/>
      </w:tblGrid>
      <w:tr w:rsidR="00157EA0" w:rsidTr="001112C2">
        <w:trPr>
          <w:trHeight w:val="240"/>
        </w:trPr>
        <w:tc>
          <w:tcPr>
            <w:tcW w:w="19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27"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86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rsidTr="001112C2">
        <w:trPr>
          <w:trHeight w:val="240"/>
        </w:trPr>
        <w:tc>
          <w:tcPr>
            <w:tcW w:w="19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41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4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rsidTr="001112C2">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工程及设备预付款</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r>
      <w:tr w:rsidR="00157EA0" w:rsidTr="001112C2">
        <w:trPr>
          <w:trHeight w:val="240"/>
        </w:trPr>
        <w:tc>
          <w:tcPr>
            <w:tcW w:w="19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35,795,813.60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86,715,621.09</w:t>
            </w:r>
          </w:p>
        </w:tc>
      </w:tr>
    </w:tbl>
    <w:p w:rsidR="00BA0365" w:rsidRDefault="008D4B2E">
      <w:pPr>
        <w:pStyle w:val="3"/>
        <w:spacing w:line="280" w:lineRule="exact"/>
        <w:jc w:val="left"/>
        <w:rPr>
          <w:rFonts w:ascii="宋体" w:hAnsi="宋体" w:cs="宋体"/>
          <w:b/>
          <w:bCs/>
        </w:rPr>
      </w:pPr>
      <w:bookmarkStart w:id="292" w:name="_Toc989182"/>
      <w:r>
        <w:rPr>
          <w:rFonts w:ascii="宋体" w:hAnsi="宋体" w:cs="宋体"/>
          <w:b/>
          <w:bCs/>
        </w:rPr>
        <w:t>21、所有权或使用权受到限制的资产</w:t>
      </w:r>
      <w:bookmarkEnd w:id="29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148"/>
        <w:gridCol w:w="994"/>
        <w:gridCol w:w="1071"/>
        <w:gridCol w:w="1071"/>
        <w:gridCol w:w="1116"/>
        <w:gridCol w:w="1026"/>
      </w:tblGrid>
      <w:tr w:rsidR="00157EA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w:t>
            </w:r>
          </w:p>
        </w:tc>
      </w:tr>
      <w:tr w:rsidR="00157EA0" w:rsidTr="001112C2">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14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受限类型</w:t>
            </w:r>
          </w:p>
        </w:tc>
        <w:tc>
          <w:tcPr>
            <w:tcW w:w="99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受限情况</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11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受限类型</w:t>
            </w:r>
          </w:p>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受限情况</w:t>
            </w:r>
          </w:p>
        </w:tc>
      </w:tr>
      <w:tr w:rsidR="00157EA0" w:rsidTr="001112C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货币资金</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1,301,351,336.99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1,301,351,336.99</w:t>
            </w:r>
          </w:p>
        </w:tc>
        <w:tc>
          <w:tcPr>
            <w:tcW w:w="11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保证金和定期存款等</w:t>
            </w:r>
          </w:p>
        </w:tc>
        <w:tc>
          <w:tcPr>
            <w:tcW w:w="9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1,037,677,643.08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1,037,677,643.08</w:t>
            </w:r>
          </w:p>
        </w:tc>
        <w:tc>
          <w:tcPr>
            <w:tcW w:w="111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保证金和定期存款等</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112C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应收票据</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455,321,827.13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455,321,827.13</w:t>
            </w:r>
          </w:p>
        </w:tc>
        <w:tc>
          <w:tcPr>
            <w:tcW w:w="11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质押用于开立银行承兑汇票</w:t>
            </w:r>
          </w:p>
        </w:tc>
        <w:tc>
          <w:tcPr>
            <w:tcW w:w="9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229,998,534.00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229,998,534.00</w:t>
            </w:r>
          </w:p>
        </w:tc>
        <w:tc>
          <w:tcPr>
            <w:tcW w:w="111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质押用于开立银行承兑汇票</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112C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固定资产</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138,289,971.48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138,289,971.48</w:t>
            </w:r>
          </w:p>
        </w:tc>
        <w:tc>
          <w:tcPr>
            <w:tcW w:w="11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9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150,901,896.13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150,901,896.13</w:t>
            </w:r>
          </w:p>
        </w:tc>
        <w:tc>
          <w:tcPr>
            <w:tcW w:w="111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112C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无形资产</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169,389,611.97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169,389,611.97</w:t>
            </w:r>
          </w:p>
        </w:tc>
        <w:tc>
          <w:tcPr>
            <w:tcW w:w="114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9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173,607,385.19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173,607,385.19</w:t>
            </w:r>
          </w:p>
        </w:tc>
        <w:tc>
          <w:tcPr>
            <w:tcW w:w="111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抵押用于取得银行借款</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52E2B">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应收款项融资</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14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99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453,388,546.21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453,388,546.21</w:t>
            </w:r>
          </w:p>
        </w:tc>
        <w:tc>
          <w:tcPr>
            <w:tcW w:w="111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质押用于开立银行承兑汇票</w:t>
            </w:r>
          </w:p>
        </w:tc>
        <w:tc>
          <w:tcPr>
            <w:tcW w:w="102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1112C2">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2,064,352,747.57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2,064,352,747.57</w:t>
            </w:r>
          </w:p>
        </w:tc>
        <w:tc>
          <w:tcPr>
            <w:tcW w:w="114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2,045,574,004.61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2,045,574,004.61</w:t>
            </w:r>
          </w:p>
        </w:tc>
        <w:tc>
          <w:tcPr>
            <w:tcW w:w="111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2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rsidP="00B818D2">
      <w:pPr>
        <w:spacing w:before="100" w:after="100"/>
        <w:rPr>
          <w:rFonts w:ascii="宋体" w:eastAsia="宋体" w:hAnsi="宋体" w:cs="宋体"/>
          <w:sz w:val="18"/>
          <w:szCs w:val="18"/>
        </w:rPr>
      </w:pPr>
      <w:r>
        <w:rPr>
          <w:rFonts w:ascii="宋体" w:eastAsia="宋体" w:hAnsi="宋体" w:cs="宋体"/>
          <w:sz w:val="18"/>
          <w:szCs w:val="18"/>
        </w:rPr>
        <w:t>其他说明：</w:t>
      </w:r>
    </w:p>
    <w:p w:rsidR="008D4B2E" w:rsidRPr="00FC6EB6" w:rsidRDefault="008D4B2E" w:rsidP="00B818D2">
      <w:pPr>
        <w:divId w:val="1830973211"/>
        <w:rPr>
          <w:rFonts w:ascii="宋体" w:eastAsia="宋体" w:hAnsi="宋体" w:cs="宋体"/>
          <w:sz w:val="18"/>
          <w:szCs w:val="18"/>
        </w:rPr>
      </w:pPr>
      <w:r w:rsidRPr="00FC6EB6">
        <w:rPr>
          <w:rFonts w:ascii="宋体" w:eastAsia="宋体" w:hAnsi="宋体" w:cs="宋体" w:hint="eastAsia"/>
          <w:sz w:val="18"/>
          <w:szCs w:val="18"/>
        </w:rPr>
        <w:t>受限原因：</w:t>
      </w:r>
    </w:p>
    <w:p w:rsidR="008D4B2E" w:rsidRPr="00FC6EB6" w:rsidRDefault="008D4B2E" w:rsidP="00B818D2">
      <w:pPr>
        <w:divId w:val="1830973211"/>
        <w:rPr>
          <w:rFonts w:ascii="宋体" w:eastAsia="宋体" w:hAnsi="宋体" w:cs="宋体"/>
          <w:sz w:val="18"/>
          <w:szCs w:val="18"/>
        </w:rPr>
      </w:pPr>
      <w:r w:rsidRPr="00FC6EB6">
        <w:rPr>
          <w:rFonts w:ascii="宋体" w:eastAsia="宋体" w:hAnsi="宋体" w:cs="宋体"/>
          <w:sz w:val="18"/>
          <w:szCs w:val="18"/>
        </w:rPr>
        <w:t>1</w:t>
      </w:r>
      <w:r w:rsidRPr="00FC6EB6">
        <w:rPr>
          <w:rFonts w:ascii="宋体" w:eastAsia="宋体" w:hAnsi="宋体" w:cs="宋体" w:hint="eastAsia"/>
          <w:sz w:val="18"/>
          <w:szCs w:val="18"/>
        </w:rPr>
        <w:t>、</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9</w:t>
      </w:r>
      <w:r w:rsidRPr="00FC6EB6">
        <w:rPr>
          <w:rFonts w:ascii="宋体" w:eastAsia="宋体" w:hAnsi="宋体" w:cs="宋体" w:hint="eastAsia"/>
          <w:sz w:val="18"/>
          <w:szCs w:val="18"/>
        </w:rPr>
        <w:t>月</w:t>
      </w:r>
      <w:r w:rsidRPr="00FC6EB6">
        <w:rPr>
          <w:rFonts w:ascii="宋体" w:eastAsia="宋体" w:hAnsi="宋体" w:cs="宋体"/>
          <w:sz w:val="18"/>
          <w:szCs w:val="18"/>
        </w:rPr>
        <w:t>27</w:t>
      </w:r>
      <w:r w:rsidRPr="00FC6EB6">
        <w:rPr>
          <w:rFonts w:ascii="宋体" w:eastAsia="宋体" w:hAnsi="宋体" w:cs="宋体" w:hint="eastAsia"/>
          <w:sz w:val="18"/>
          <w:szCs w:val="18"/>
        </w:rPr>
        <w:t>日，江苏达诚机械装备有限公司因与</w:t>
      </w:r>
      <w:proofErr w:type="gramStart"/>
      <w:r w:rsidRPr="00FC6EB6">
        <w:rPr>
          <w:rFonts w:ascii="宋体" w:eastAsia="宋体" w:hAnsi="宋体" w:cs="宋体" w:hint="eastAsia"/>
          <w:sz w:val="18"/>
          <w:szCs w:val="18"/>
        </w:rPr>
        <w:t>青岛软控机电工程</w:t>
      </w:r>
      <w:proofErr w:type="gramEnd"/>
      <w:r w:rsidRPr="00FC6EB6">
        <w:rPr>
          <w:rFonts w:ascii="宋体" w:eastAsia="宋体" w:hAnsi="宋体" w:cs="宋体" w:hint="eastAsia"/>
          <w:sz w:val="18"/>
          <w:szCs w:val="18"/>
        </w:rPr>
        <w:t>有限公司买卖合同纠纷一案，向法院申请保全，青岛市市北区人民法院</w:t>
      </w:r>
      <w:proofErr w:type="gramStart"/>
      <w:r w:rsidRPr="00FC6EB6">
        <w:rPr>
          <w:rFonts w:ascii="宋体" w:eastAsia="宋体" w:hAnsi="宋体" w:cs="宋体" w:hint="eastAsia"/>
          <w:sz w:val="18"/>
          <w:szCs w:val="18"/>
        </w:rPr>
        <w:t>作出</w:t>
      </w:r>
      <w:proofErr w:type="gramEnd"/>
      <w:r w:rsidRPr="00FC6EB6">
        <w:rPr>
          <w:rFonts w:ascii="宋体" w:eastAsia="宋体" w:hAnsi="宋体" w:cs="宋体" w:hint="eastAsia"/>
          <w:sz w:val="18"/>
          <w:szCs w:val="18"/>
        </w:rPr>
        <w:t>（</w:t>
      </w:r>
      <w:r w:rsidRPr="00FC6EB6">
        <w:rPr>
          <w:rFonts w:ascii="宋体" w:eastAsia="宋体" w:hAnsi="宋体" w:cs="宋体"/>
          <w:sz w:val="18"/>
          <w:szCs w:val="18"/>
        </w:rPr>
        <w:t>2023</w:t>
      </w:r>
      <w:r w:rsidRPr="00FC6EB6">
        <w:rPr>
          <w:rFonts w:ascii="宋体" w:eastAsia="宋体" w:hAnsi="宋体" w:cs="宋体" w:hint="eastAsia"/>
          <w:sz w:val="18"/>
          <w:szCs w:val="18"/>
        </w:rPr>
        <w:t>）鲁</w:t>
      </w:r>
      <w:r w:rsidRPr="00FC6EB6">
        <w:rPr>
          <w:rFonts w:ascii="宋体" w:eastAsia="宋体" w:hAnsi="宋体" w:cs="宋体"/>
          <w:sz w:val="18"/>
          <w:szCs w:val="18"/>
        </w:rPr>
        <w:t>0203</w:t>
      </w:r>
      <w:r w:rsidRPr="00FC6EB6">
        <w:rPr>
          <w:rFonts w:ascii="宋体" w:eastAsia="宋体" w:hAnsi="宋体" w:cs="宋体" w:hint="eastAsia"/>
          <w:sz w:val="18"/>
          <w:szCs w:val="18"/>
        </w:rPr>
        <w:t>财保</w:t>
      </w:r>
      <w:r w:rsidRPr="00FC6EB6">
        <w:rPr>
          <w:rFonts w:ascii="宋体" w:eastAsia="宋体" w:hAnsi="宋体" w:cs="宋体"/>
          <w:sz w:val="18"/>
          <w:szCs w:val="18"/>
        </w:rPr>
        <w:t>1617</w:t>
      </w:r>
      <w:r w:rsidRPr="00FC6EB6">
        <w:rPr>
          <w:rFonts w:ascii="宋体" w:eastAsia="宋体" w:hAnsi="宋体" w:cs="宋体" w:hint="eastAsia"/>
          <w:sz w:val="18"/>
          <w:szCs w:val="18"/>
        </w:rPr>
        <w:t>号裁定，冻结</w:t>
      </w:r>
      <w:proofErr w:type="gramStart"/>
      <w:r w:rsidRPr="00FC6EB6">
        <w:rPr>
          <w:rFonts w:ascii="宋体" w:eastAsia="宋体" w:hAnsi="宋体" w:cs="宋体" w:hint="eastAsia"/>
          <w:sz w:val="18"/>
          <w:szCs w:val="18"/>
        </w:rPr>
        <w:t>青岛软控机电工程</w:t>
      </w:r>
      <w:proofErr w:type="gramEnd"/>
      <w:r w:rsidRPr="00FC6EB6">
        <w:rPr>
          <w:rFonts w:ascii="宋体" w:eastAsia="宋体" w:hAnsi="宋体" w:cs="宋体" w:hint="eastAsia"/>
          <w:sz w:val="18"/>
          <w:szCs w:val="18"/>
        </w:rPr>
        <w:t>有限公司在银行账户存款人民币</w:t>
      </w:r>
      <w:r w:rsidRPr="00FC6EB6">
        <w:rPr>
          <w:rFonts w:ascii="宋体" w:eastAsia="宋体" w:hAnsi="宋体" w:cs="宋体"/>
          <w:sz w:val="18"/>
          <w:szCs w:val="18"/>
        </w:rPr>
        <w:t>2,700,000.00</w:t>
      </w:r>
      <w:r w:rsidRPr="00FC6EB6">
        <w:rPr>
          <w:rFonts w:ascii="宋体" w:eastAsia="宋体" w:hAnsi="宋体" w:cs="宋体" w:hint="eastAsia"/>
          <w:sz w:val="18"/>
          <w:szCs w:val="18"/>
        </w:rPr>
        <w:t>元。</w:t>
      </w:r>
    </w:p>
    <w:p w:rsidR="008D4B2E" w:rsidRPr="00FC6EB6" w:rsidRDefault="008D4B2E" w:rsidP="00B818D2">
      <w:pPr>
        <w:divId w:val="1830973211"/>
        <w:rPr>
          <w:rFonts w:ascii="宋体" w:eastAsia="宋体" w:hAnsi="宋体" w:cs="宋体"/>
          <w:sz w:val="18"/>
          <w:szCs w:val="18"/>
        </w:rPr>
      </w:pPr>
      <w:r w:rsidRPr="00FC6EB6">
        <w:rPr>
          <w:rFonts w:ascii="宋体" w:eastAsia="宋体" w:hAnsi="宋体" w:cs="宋体"/>
          <w:sz w:val="18"/>
          <w:szCs w:val="18"/>
        </w:rPr>
        <w:t>2</w:t>
      </w:r>
      <w:r w:rsidRPr="00FC6EB6">
        <w:rPr>
          <w:rFonts w:ascii="宋体" w:eastAsia="宋体" w:hAnsi="宋体" w:cs="宋体" w:hint="eastAsia"/>
          <w:sz w:val="18"/>
          <w:szCs w:val="18"/>
        </w:rPr>
        <w:t>、</w:t>
      </w:r>
      <w:proofErr w:type="gramStart"/>
      <w:r w:rsidRPr="00FC6EB6">
        <w:rPr>
          <w:rFonts w:ascii="宋体" w:eastAsia="宋体" w:hAnsi="宋体" w:cs="宋体" w:hint="eastAsia"/>
          <w:sz w:val="18"/>
          <w:szCs w:val="18"/>
        </w:rPr>
        <w:t>软控机电浙商</w:t>
      </w:r>
      <w:proofErr w:type="gramEnd"/>
      <w:r w:rsidRPr="00FC6EB6">
        <w:rPr>
          <w:rFonts w:ascii="宋体" w:eastAsia="宋体" w:hAnsi="宋体" w:cs="宋体" w:hint="eastAsia"/>
          <w:sz w:val="18"/>
          <w:szCs w:val="18"/>
        </w:rPr>
        <w:t>银行青岛分行票据池入池票据托收资金</w:t>
      </w:r>
      <w:r w:rsidRPr="00FC6EB6">
        <w:rPr>
          <w:rFonts w:ascii="宋体" w:eastAsia="宋体" w:hAnsi="宋体" w:cs="宋体"/>
          <w:sz w:val="18"/>
          <w:szCs w:val="18"/>
        </w:rPr>
        <w:t>530,497,800.77</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中信银行青岛分行票据池入池票据托收资金</w:t>
      </w:r>
      <w:r w:rsidRPr="00FC6EB6">
        <w:rPr>
          <w:rFonts w:ascii="宋体" w:eastAsia="宋体" w:hAnsi="宋体" w:cs="宋体"/>
          <w:sz w:val="18"/>
          <w:szCs w:val="18"/>
        </w:rPr>
        <w:t>376,636,299.52</w:t>
      </w:r>
      <w:r w:rsidRPr="00FC6EB6">
        <w:rPr>
          <w:rFonts w:ascii="宋体" w:eastAsia="宋体" w:hAnsi="宋体" w:cs="宋体" w:hint="eastAsia"/>
          <w:sz w:val="18"/>
          <w:szCs w:val="18"/>
        </w:rPr>
        <w:t>元，入池质押票据</w:t>
      </w:r>
      <w:r w:rsidRPr="00FC6EB6">
        <w:rPr>
          <w:rFonts w:ascii="宋体" w:eastAsia="宋体" w:hAnsi="宋体" w:cs="宋体"/>
          <w:sz w:val="18"/>
          <w:szCs w:val="18"/>
        </w:rPr>
        <w:t>85,976,813.90</w:t>
      </w:r>
      <w:r w:rsidRPr="00FC6EB6">
        <w:rPr>
          <w:rFonts w:ascii="宋体" w:eastAsia="宋体" w:hAnsi="宋体" w:cs="宋体" w:hint="eastAsia"/>
          <w:sz w:val="18"/>
          <w:szCs w:val="18"/>
        </w:rPr>
        <w:t>元；中国兴业银行青岛分行票据池入池票据托收资金</w:t>
      </w:r>
      <w:r w:rsidRPr="00FC6EB6">
        <w:rPr>
          <w:rFonts w:ascii="宋体" w:eastAsia="宋体" w:hAnsi="宋体" w:cs="宋体"/>
          <w:sz w:val="18"/>
          <w:szCs w:val="18"/>
        </w:rPr>
        <w:t>72,689,053.43</w:t>
      </w:r>
      <w:r w:rsidRPr="00FC6EB6">
        <w:rPr>
          <w:rFonts w:ascii="宋体" w:eastAsia="宋体" w:hAnsi="宋体" w:cs="宋体" w:hint="eastAsia"/>
          <w:sz w:val="18"/>
          <w:szCs w:val="18"/>
        </w:rPr>
        <w:t>元，入池质押票据</w:t>
      </w:r>
      <w:r w:rsidRPr="00FC6EB6">
        <w:rPr>
          <w:rFonts w:ascii="宋体" w:eastAsia="宋体" w:hAnsi="宋体" w:cs="宋体"/>
          <w:sz w:val="18"/>
          <w:szCs w:val="18"/>
        </w:rPr>
        <w:t>132,574,270.68</w:t>
      </w:r>
      <w:r w:rsidRPr="00FC6EB6">
        <w:rPr>
          <w:rFonts w:ascii="宋体" w:eastAsia="宋体" w:hAnsi="宋体" w:cs="宋体" w:hint="eastAsia"/>
          <w:sz w:val="18"/>
          <w:szCs w:val="18"/>
        </w:rPr>
        <w:t>元；广发银行青岛分行入池质押票据</w:t>
      </w:r>
      <w:r w:rsidRPr="00FC6EB6">
        <w:rPr>
          <w:rFonts w:ascii="宋体" w:eastAsia="宋体" w:hAnsi="宋体" w:cs="宋体"/>
          <w:sz w:val="18"/>
          <w:szCs w:val="18"/>
        </w:rPr>
        <w:t>152,402,880.75</w:t>
      </w:r>
      <w:r w:rsidRPr="00FC6EB6">
        <w:rPr>
          <w:rFonts w:ascii="宋体" w:eastAsia="宋体" w:hAnsi="宋体" w:cs="宋体" w:hint="eastAsia"/>
          <w:sz w:val="18"/>
          <w:szCs w:val="18"/>
        </w:rPr>
        <w:t>元。</w:t>
      </w:r>
    </w:p>
    <w:p w:rsidR="008D4B2E" w:rsidRPr="00FC6EB6" w:rsidRDefault="008D4B2E" w:rsidP="00B818D2">
      <w:pPr>
        <w:divId w:val="1830973211"/>
        <w:rPr>
          <w:rFonts w:ascii="宋体" w:eastAsia="宋体" w:hAnsi="宋体" w:cs="宋体"/>
          <w:sz w:val="18"/>
          <w:szCs w:val="18"/>
        </w:rPr>
      </w:pPr>
      <w:r w:rsidRPr="00FC6EB6">
        <w:rPr>
          <w:rFonts w:ascii="宋体" w:eastAsia="宋体" w:hAnsi="宋体" w:cs="宋体"/>
          <w:sz w:val="18"/>
          <w:szCs w:val="18"/>
        </w:rPr>
        <w:t>3</w:t>
      </w:r>
      <w:r w:rsidRPr="00FC6EB6">
        <w:rPr>
          <w:rFonts w:ascii="宋体" w:eastAsia="宋体" w:hAnsi="宋体" w:cs="宋体" w:hint="eastAsia"/>
          <w:sz w:val="18"/>
          <w:szCs w:val="18"/>
        </w:rPr>
        <w:t>、其余受限货币资金为银行承兑汇票保证金、信用证保证金、保函保证金、远期结汇保证金。</w:t>
      </w:r>
    </w:p>
    <w:p w:rsidR="008D4B2E" w:rsidRPr="00FC6EB6" w:rsidRDefault="008D4B2E" w:rsidP="00B818D2">
      <w:pPr>
        <w:divId w:val="1830973211"/>
        <w:rPr>
          <w:rFonts w:ascii="宋体" w:eastAsia="宋体" w:hAnsi="宋体" w:cs="宋体"/>
          <w:sz w:val="18"/>
          <w:szCs w:val="18"/>
        </w:rPr>
      </w:pPr>
      <w:r w:rsidRPr="00FC6EB6">
        <w:rPr>
          <w:rFonts w:ascii="宋体" w:eastAsia="宋体" w:hAnsi="宋体" w:cs="宋体"/>
          <w:sz w:val="18"/>
          <w:szCs w:val="18"/>
        </w:rPr>
        <w:t>4</w:t>
      </w:r>
      <w:r w:rsidRPr="00FC6EB6">
        <w:rPr>
          <w:rFonts w:ascii="宋体" w:eastAsia="宋体" w:hAnsi="宋体" w:cs="宋体" w:hint="eastAsia"/>
          <w:sz w:val="18"/>
          <w:szCs w:val="18"/>
        </w:rPr>
        <w:t>、受限固定资产、无形资产详见附注长期借款。</w:t>
      </w:r>
      <w:r w:rsidRPr="00FC6EB6">
        <w:rPr>
          <w:rFonts w:ascii="宋体" w:eastAsia="宋体" w:hAnsi="宋体" w:cs="宋体"/>
          <w:sz w:val="18"/>
          <w:szCs w:val="18"/>
        </w:rPr>
        <w:t xml:space="preserve"> </w:t>
      </w:r>
    </w:p>
    <w:p w:rsidR="00BA0365" w:rsidRDefault="008D4B2E">
      <w:pPr>
        <w:pStyle w:val="3"/>
        <w:spacing w:line="280" w:lineRule="exact"/>
        <w:jc w:val="left"/>
        <w:rPr>
          <w:rFonts w:ascii="宋体" w:hAnsi="宋体" w:cs="宋体"/>
          <w:b/>
          <w:bCs/>
        </w:rPr>
      </w:pPr>
      <w:bookmarkStart w:id="293" w:name="_Toc989183"/>
      <w:r>
        <w:rPr>
          <w:rFonts w:ascii="宋体" w:hAnsi="宋体" w:cs="宋体"/>
          <w:b/>
          <w:bCs/>
        </w:rPr>
        <w:lastRenderedPageBreak/>
        <w:t>22、短期借款</w:t>
      </w:r>
      <w:bookmarkEnd w:id="293"/>
    </w:p>
    <w:p w:rsidR="00BA0365" w:rsidRDefault="008D4B2E">
      <w:pPr>
        <w:keepNext/>
        <w:keepLines/>
        <w:spacing w:before="300" w:after="300" w:line="280" w:lineRule="exact"/>
        <w:outlineLvl w:val="3"/>
        <w:rPr>
          <w:rFonts w:ascii="宋体" w:eastAsia="宋体" w:hAnsi="宋体" w:cs="宋体"/>
          <w:b/>
          <w:bCs/>
          <w:szCs w:val="21"/>
        </w:rPr>
      </w:pPr>
      <w:bookmarkStart w:id="294" w:name="_Toc989184"/>
      <w:r>
        <w:rPr>
          <w:rFonts w:ascii="宋体" w:eastAsia="宋体" w:hAnsi="宋体" w:cs="宋体"/>
          <w:b/>
          <w:bCs/>
          <w:szCs w:val="21"/>
        </w:rPr>
        <w:t>（1） 短期借款分类</w:t>
      </w:r>
      <w:bookmarkEnd w:id="29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保证借款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374,900,000.00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402,990,075.00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314,078,350.00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26,618,294.35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688,978,350.00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429,608,369.35</w:t>
            </w:r>
          </w:p>
        </w:tc>
      </w:tr>
    </w:tbl>
    <w:p w:rsidR="00BA0365" w:rsidRDefault="008D4B2E">
      <w:pPr>
        <w:pStyle w:val="3"/>
        <w:spacing w:line="280" w:lineRule="exact"/>
        <w:jc w:val="left"/>
        <w:rPr>
          <w:rFonts w:ascii="宋体" w:hAnsi="宋体" w:cs="宋体"/>
          <w:b/>
          <w:bCs/>
        </w:rPr>
      </w:pPr>
      <w:bookmarkStart w:id="295" w:name="_Toc989185"/>
      <w:r>
        <w:rPr>
          <w:rFonts w:ascii="宋体" w:hAnsi="宋体" w:cs="宋体"/>
          <w:b/>
          <w:bCs/>
        </w:rPr>
        <w:t>23、应付票据</w:t>
      </w:r>
      <w:bookmarkEnd w:id="29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种类</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商业承兑汇票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7,035,037.52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66,984,516.57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银行承兑汇票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1,234,566,097.95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1,246,381,970.62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信用证</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491,948.64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11,761,083.03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1,242,093,084.11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1,325,127,570.22</w:t>
            </w:r>
          </w:p>
        </w:tc>
      </w:tr>
    </w:tbl>
    <w:p w:rsidR="00BA0365" w:rsidRDefault="008D4B2E">
      <w:pPr>
        <w:pStyle w:val="3"/>
        <w:spacing w:line="280" w:lineRule="exact"/>
        <w:jc w:val="left"/>
        <w:rPr>
          <w:rFonts w:ascii="宋体" w:hAnsi="宋体" w:cs="宋体"/>
          <w:b/>
          <w:bCs/>
        </w:rPr>
      </w:pPr>
      <w:bookmarkStart w:id="296" w:name="_Toc989186"/>
      <w:r>
        <w:rPr>
          <w:rFonts w:ascii="宋体" w:hAnsi="宋体" w:cs="宋体"/>
          <w:b/>
          <w:bCs/>
        </w:rPr>
        <w:t>24、应付账款</w:t>
      </w:r>
      <w:bookmarkEnd w:id="296"/>
    </w:p>
    <w:p w:rsidR="00BA0365" w:rsidRDefault="008D4B2E">
      <w:pPr>
        <w:keepNext/>
        <w:keepLines/>
        <w:spacing w:before="300" w:after="300" w:line="280" w:lineRule="exact"/>
        <w:outlineLvl w:val="3"/>
        <w:rPr>
          <w:rFonts w:ascii="宋体" w:eastAsia="宋体" w:hAnsi="宋体" w:cs="宋体"/>
          <w:b/>
          <w:bCs/>
          <w:sz w:val="18"/>
          <w:szCs w:val="18"/>
        </w:rPr>
      </w:pPr>
      <w:bookmarkStart w:id="297" w:name="_Toc989187"/>
      <w:r>
        <w:rPr>
          <w:rFonts w:ascii="宋体" w:eastAsia="宋体" w:hAnsi="宋体" w:cs="宋体"/>
          <w:b/>
          <w:bCs/>
          <w:sz w:val="18"/>
          <w:szCs w:val="18"/>
        </w:rPr>
        <w:t>（1） 应付账款列示</w:t>
      </w:r>
      <w:bookmarkEnd w:id="29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 年以内</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1,924,037,796.90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1,748,870,966.43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 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69,556,969.24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39,527,119.86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2-3 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18,318,592.01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13,611,015.84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 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39,875,211.16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36,806,165.30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2,051,788,569.31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1,838,815,267.43</w:t>
            </w:r>
          </w:p>
        </w:tc>
      </w:tr>
    </w:tbl>
    <w:p w:rsidR="00BA0365" w:rsidRDefault="008D4B2E">
      <w:pPr>
        <w:pStyle w:val="3"/>
        <w:spacing w:line="280" w:lineRule="exact"/>
        <w:jc w:val="left"/>
        <w:rPr>
          <w:rFonts w:ascii="宋体" w:hAnsi="宋体" w:cs="宋体"/>
          <w:b/>
          <w:bCs/>
        </w:rPr>
      </w:pPr>
      <w:bookmarkStart w:id="298" w:name="_Toc989188"/>
      <w:r>
        <w:rPr>
          <w:rFonts w:ascii="宋体" w:hAnsi="宋体" w:cs="宋体"/>
          <w:b/>
          <w:bCs/>
        </w:rPr>
        <w:t>25、其他应付款</w:t>
      </w:r>
      <w:bookmarkEnd w:id="29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应付股利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635,444.00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其他应付款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282,498,676.55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175,314,270.20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283,134,120.55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176,784,270.20</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299" w:name="_Toc989189"/>
      <w:r>
        <w:rPr>
          <w:rFonts w:ascii="宋体" w:eastAsia="宋体" w:hAnsi="宋体" w:cs="宋体"/>
          <w:b/>
          <w:bCs/>
          <w:sz w:val="18"/>
          <w:szCs w:val="18"/>
        </w:rPr>
        <w:t>（1） 应付股利</w:t>
      </w:r>
      <w:bookmarkEnd w:id="29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普通股股利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635,444.00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635,444.00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1,470,000.00</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300" w:name="_Toc989190"/>
      <w:r>
        <w:rPr>
          <w:rFonts w:ascii="宋体" w:eastAsia="宋体" w:hAnsi="宋体" w:cs="宋体"/>
          <w:b/>
          <w:bCs/>
          <w:sz w:val="18"/>
          <w:szCs w:val="18"/>
        </w:rPr>
        <w:lastRenderedPageBreak/>
        <w:t>（2） 其他应付款</w:t>
      </w:r>
      <w:bookmarkEnd w:id="300"/>
    </w:p>
    <w:p w:rsidR="00BA0365" w:rsidRDefault="008D4B2E">
      <w:pPr>
        <w:keepNext/>
        <w:keepLines/>
        <w:spacing w:before="300" w:after="300" w:line="280" w:lineRule="exact"/>
        <w:outlineLvl w:val="4"/>
        <w:rPr>
          <w:rFonts w:ascii="宋体" w:eastAsia="宋体" w:hAnsi="宋体" w:cs="宋体"/>
          <w:b/>
          <w:bCs/>
          <w:sz w:val="18"/>
          <w:szCs w:val="18"/>
        </w:rPr>
      </w:pPr>
      <w:bookmarkStart w:id="301" w:name="_Toc989191"/>
      <w:r>
        <w:rPr>
          <w:rFonts w:ascii="宋体" w:eastAsia="宋体" w:hAnsi="宋体" w:cs="宋体"/>
          <w:b/>
          <w:bCs/>
          <w:sz w:val="18"/>
          <w:szCs w:val="18"/>
        </w:rPr>
        <w:t>1） 按款项性质列示其他应付款</w:t>
      </w:r>
      <w:bookmarkEnd w:id="30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预提费用等</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51,139,076.13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53,773,328.06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限制性股票回购义务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16,026,395.25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17,225,111.33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投标保证金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13,079,997.53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12,197,455.37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员工往来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1,121,703.64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679,175.44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282,498,676.55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175,314,270.20</w:t>
            </w:r>
          </w:p>
        </w:tc>
      </w:tr>
    </w:tbl>
    <w:p w:rsidR="00BA0365" w:rsidRDefault="008D4B2E">
      <w:pPr>
        <w:pStyle w:val="3"/>
        <w:spacing w:line="280" w:lineRule="exact"/>
        <w:jc w:val="left"/>
        <w:rPr>
          <w:rFonts w:ascii="宋体" w:hAnsi="宋体" w:cs="宋体"/>
          <w:b/>
          <w:bCs/>
        </w:rPr>
      </w:pPr>
      <w:bookmarkStart w:id="302" w:name="_Toc989193"/>
      <w:r>
        <w:rPr>
          <w:rFonts w:ascii="宋体" w:hAnsi="宋体" w:cs="宋体"/>
          <w:b/>
          <w:bCs/>
        </w:rPr>
        <w:t>26、合同负债</w:t>
      </w:r>
      <w:bookmarkEnd w:id="30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 年以内</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2,953,207,280.37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2,379,164,678.05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1-2 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799,886,355.49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550,875,391.56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2-3 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304,130,157.34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131,390,875.09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 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111,321,763.47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97,215,742.14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4,168,545,556.67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3,158,646,686.84</w:t>
            </w:r>
          </w:p>
        </w:tc>
      </w:tr>
    </w:tbl>
    <w:p w:rsidR="00BA0365" w:rsidRDefault="008D4B2E">
      <w:pPr>
        <w:pStyle w:val="3"/>
        <w:spacing w:line="280" w:lineRule="exact"/>
        <w:jc w:val="left"/>
        <w:rPr>
          <w:rFonts w:ascii="宋体" w:hAnsi="宋体" w:cs="宋体"/>
          <w:b/>
          <w:bCs/>
        </w:rPr>
      </w:pPr>
      <w:bookmarkStart w:id="303" w:name="_Toc989194"/>
      <w:r>
        <w:rPr>
          <w:rFonts w:ascii="宋体" w:hAnsi="宋体" w:cs="宋体"/>
          <w:b/>
          <w:bCs/>
        </w:rPr>
        <w:t>27、应付职工薪</w:t>
      </w:r>
      <w:proofErr w:type="gramStart"/>
      <w:r>
        <w:rPr>
          <w:rFonts w:ascii="宋体" w:hAnsi="宋体" w:cs="宋体"/>
          <w:b/>
          <w:bCs/>
        </w:rPr>
        <w:t>酬</w:t>
      </w:r>
      <w:bookmarkEnd w:id="303"/>
      <w:proofErr w:type="gramEnd"/>
    </w:p>
    <w:p w:rsidR="00BA0365" w:rsidRDefault="008D4B2E">
      <w:pPr>
        <w:keepNext/>
        <w:keepLines/>
        <w:spacing w:before="300" w:after="300" w:line="280" w:lineRule="exact"/>
        <w:outlineLvl w:val="3"/>
        <w:rPr>
          <w:rFonts w:ascii="宋体" w:eastAsia="宋体" w:hAnsi="宋体" w:cs="宋体"/>
          <w:b/>
          <w:bCs/>
          <w:szCs w:val="21"/>
        </w:rPr>
      </w:pPr>
      <w:bookmarkStart w:id="304" w:name="_Toc989195"/>
      <w:r>
        <w:rPr>
          <w:rFonts w:ascii="宋体" w:eastAsia="宋体" w:hAnsi="宋体" w:cs="宋体"/>
          <w:b/>
          <w:bCs/>
          <w:szCs w:val="21"/>
        </w:rPr>
        <w:t>（1） 应付职工薪</w:t>
      </w:r>
      <w:proofErr w:type="gramStart"/>
      <w:r>
        <w:rPr>
          <w:rFonts w:ascii="宋体" w:eastAsia="宋体" w:hAnsi="宋体" w:cs="宋体"/>
          <w:b/>
          <w:bCs/>
          <w:szCs w:val="21"/>
        </w:rPr>
        <w:t>酬</w:t>
      </w:r>
      <w:proofErr w:type="gramEnd"/>
      <w:r>
        <w:rPr>
          <w:rFonts w:ascii="宋体" w:eastAsia="宋体" w:hAnsi="宋体" w:cs="宋体"/>
          <w:b/>
          <w:bCs/>
          <w:szCs w:val="21"/>
        </w:rPr>
        <w:t>列示</w:t>
      </w:r>
      <w:bookmarkEnd w:id="30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660"/>
        <w:gridCol w:w="1843"/>
        <w:gridCol w:w="1701"/>
        <w:gridCol w:w="1701"/>
        <w:gridCol w:w="1734"/>
      </w:tblGrid>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一、短期薪酬</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133,430,303.41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712,984,050.63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679,097,291.47</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167,317,062.57</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二、离职后福利-设定提存计划</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27,364.69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37,792,948.91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37,820,082.11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231.49</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三、辞退福利</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1,306,582.00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1,306,582.00</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133,457,668.10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752,083,581.54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718,223,955.58</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167,317,294.06</w:t>
            </w:r>
          </w:p>
        </w:tc>
      </w:tr>
    </w:tbl>
    <w:p w:rsidR="00BA0365" w:rsidRDefault="008D4B2E">
      <w:pPr>
        <w:keepNext/>
        <w:keepLines/>
        <w:spacing w:before="300" w:after="300" w:line="280" w:lineRule="exact"/>
        <w:outlineLvl w:val="3"/>
        <w:rPr>
          <w:rFonts w:ascii="宋体" w:eastAsia="宋体" w:hAnsi="宋体" w:cs="宋体"/>
          <w:b/>
          <w:bCs/>
          <w:szCs w:val="21"/>
        </w:rPr>
      </w:pPr>
      <w:bookmarkStart w:id="305" w:name="_Toc989196"/>
      <w:r>
        <w:rPr>
          <w:rFonts w:ascii="宋体" w:eastAsia="宋体" w:hAnsi="宋体" w:cs="宋体"/>
          <w:b/>
          <w:bCs/>
          <w:szCs w:val="21"/>
        </w:rPr>
        <w:t>（2） 短期薪酬列示</w:t>
      </w:r>
      <w:bookmarkEnd w:id="30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660"/>
        <w:gridCol w:w="1843"/>
        <w:gridCol w:w="1701"/>
        <w:gridCol w:w="1701"/>
        <w:gridCol w:w="1734"/>
      </w:tblGrid>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1、工资、奖金、津贴和补贴</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117,411,587.62</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626,626,675.83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592,685,322.13</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151,352,941.32</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2、职工福利费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2,046,901.68</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27,315,630.13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26,698,210.30</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2,664,321.51</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3、社会保险费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116.43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19,628,099.39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19,628,099.39</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116.43</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其中：医疗保险费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110.89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18,041,386.99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18,041,386.99</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110.89</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工伤保险费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1,540,492.91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1,540,492.91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500" w:firstLine="900"/>
              <w:rPr>
                <w:rFonts w:ascii="宋体" w:eastAsia="宋体" w:hAnsi="宋体" w:cs="宋体"/>
                <w:sz w:val="18"/>
                <w:szCs w:val="18"/>
              </w:rPr>
            </w:pPr>
            <w:r>
              <w:rPr>
                <w:rFonts w:ascii="宋体" w:eastAsia="宋体" w:hAnsi="宋体" w:cs="宋体"/>
                <w:sz w:val="18"/>
                <w:szCs w:val="18"/>
              </w:rPr>
              <w:t>生育保险费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46,219.49</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46,219.49</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4、住房公积金</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31,353,295.61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31,353,295.61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5、工会经费和职工教育经费</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13,971,697.68</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8,060,349.67</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8,732,364.04</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13,299,683.31</w:t>
            </w:r>
          </w:p>
        </w:tc>
      </w:tr>
      <w:tr w:rsidR="00157EA0" w:rsidTr="001112C2">
        <w:trPr>
          <w:trHeight w:val="240"/>
        </w:trPr>
        <w:tc>
          <w:tcPr>
            <w:tcW w:w="26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133,430,303.41</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712,984,050.63</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679,097,291.47</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167,317,062.57</w:t>
            </w:r>
          </w:p>
        </w:tc>
      </w:tr>
    </w:tbl>
    <w:p w:rsidR="00BA0365" w:rsidRDefault="008D4B2E">
      <w:pPr>
        <w:keepNext/>
        <w:keepLines/>
        <w:spacing w:before="300" w:after="300" w:line="280" w:lineRule="exact"/>
        <w:outlineLvl w:val="3"/>
        <w:rPr>
          <w:rFonts w:ascii="宋体" w:eastAsia="宋体" w:hAnsi="宋体" w:cs="宋体"/>
          <w:b/>
          <w:bCs/>
          <w:szCs w:val="21"/>
        </w:rPr>
      </w:pPr>
      <w:bookmarkStart w:id="306" w:name="_Toc989197"/>
      <w:r>
        <w:rPr>
          <w:rFonts w:ascii="宋体" w:eastAsia="宋体" w:hAnsi="宋体" w:cs="宋体"/>
          <w:b/>
          <w:bCs/>
          <w:szCs w:val="21"/>
        </w:rPr>
        <w:lastRenderedPageBreak/>
        <w:t>（3） 设定提存计划列示</w:t>
      </w:r>
      <w:bookmarkEnd w:id="30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1、基本养老保险</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27,354.99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36,104,318.87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36,131,452.07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221.79</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2、失业保险费</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1,688,630.04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1,688,630.04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27,364.69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37,792,948.91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37,820,082.11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231.49</w:t>
            </w:r>
          </w:p>
        </w:tc>
      </w:tr>
    </w:tbl>
    <w:p w:rsidR="00BA0365" w:rsidRDefault="008D4B2E">
      <w:pPr>
        <w:pStyle w:val="3"/>
        <w:spacing w:line="280" w:lineRule="exact"/>
        <w:jc w:val="left"/>
        <w:rPr>
          <w:rFonts w:ascii="宋体" w:hAnsi="宋体" w:cs="宋体"/>
          <w:b/>
          <w:bCs/>
        </w:rPr>
      </w:pPr>
      <w:bookmarkStart w:id="307" w:name="_Toc989198"/>
      <w:r>
        <w:rPr>
          <w:rFonts w:ascii="宋体" w:hAnsi="宋体" w:cs="宋体"/>
          <w:b/>
          <w:bCs/>
        </w:rPr>
        <w:t>28、应交税费</w:t>
      </w:r>
      <w:bookmarkEnd w:id="30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增值税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19,730,259.38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13,022,110.44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企业所得税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6,274,755.19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9,067,191.81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个人所得税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1,071,997.76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6,958,025.45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1,146,027.66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1,436,502.73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1,740,786.21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1,893,008.86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2,220,306.62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1,436,370.73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1,324,454.71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1,486,315.31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821,149.07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753,404.63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34,329,736.60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36,052,929.96</w:t>
            </w:r>
          </w:p>
        </w:tc>
      </w:tr>
    </w:tbl>
    <w:p w:rsidR="00BA0365" w:rsidRDefault="008D4B2E">
      <w:pPr>
        <w:pStyle w:val="3"/>
        <w:spacing w:line="280" w:lineRule="exact"/>
        <w:jc w:val="left"/>
        <w:rPr>
          <w:rFonts w:ascii="宋体" w:hAnsi="宋体" w:cs="宋体"/>
          <w:b/>
          <w:bCs/>
        </w:rPr>
      </w:pPr>
      <w:bookmarkStart w:id="308" w:name="_Toc989199"/>
      <w:r>
        <w:rPr>
          <w:rFonts w:ascii="宋体" w:hAnsi="宋体" w:cs="宋体"/>
          <w:b/>
          <w:bCs/>
        </w:rPr>
        <w:t>29、一年内到期的非流动负债</w:t>
      </w:r>
      <w:bookmarkEnd w:id="30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一年内到期的长期借款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40,073,553.14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13,079,254.13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8,216,037.42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113,079,254.13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48,289,590.56</w:t>
            </w:r>
          </w:p>
        </w:tc>
      </w:tr>
    </w:tbl>
    <w:p w:rsidR="00BA0365" w:rsidRDefault="008D4B2E">
      <w:pPr>
        <w:pStyle w:val="3"/>
        <w:spacing w:line="280" w:lineRule="exact"/>
        <w:jc w:val="left"/>
        <w:rPr>
          <w:rFonts w:ascii="宋体" w:hAnsi="宋体" w:cs="宋体"/>
          <w:b/>
          <w:bCs/>
        </w:rPr>
      </w:pPr>
      <w:bookmarkStart w:id="309" w:name="_Toc989200"/>
      <w:r>
        <w:rPr>
          <w:rFonts w:ascii="宋体" w:hAnsi="宋体" w:cs="宋体"/>
          <w:b/>
          <w:bCs/>
        </w:rPr>
        <w:t>30、其他流动负债</w:t>
      </w:r>
      <w:bookmarkEnd w:id="30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预收增值税销项税额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285,648,377.56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225,539,720.07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已背书或</w:t>
            </w:r>
            <w:proofErr w:type="gramStart"/>
            <w:r>
              <w:rPr>
                <w:rFonts w:ascii="宋体" w:eastAsia="宋体" w:hAnsi="宋体" w:cs="宋体"/>
                <w:sz w:val="18"/>
                <w:szCs w:val="18"/>
              </w:rPr>
              <w:t>贴现未且在</w:t>
            </w:r>
            <w:proofErr w:type="gramEnd"/>
            <w:r>
              <w:rPr>
                <w:rFonts w:ascii="宋体" w:eastAsia="宋体" w:hAnsi="宋体" w:cs="宋体"/>
                <w:sz w:val="18"/>
                <w:szCs w:val="18"/>
              </w:rPr>
              <w:t>资产负债表日尚未到期的商业汇票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279,414,354.41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139,517,918.13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565,062,731.97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365,057,638.20</w:t>
            </w:r>
          </w:p>
        </w:tc>
      </w:tr>
    </w:tbl>
    <w:p w:rsidR="00BA0365" w:rsidRDefault="008D4B2E">
      <w:pPr>
        <w:pStyle w:val="3"/>
        <w:spacing w:line="280" w:lineRule="exact"/>
        <w:jc w:val="left"/>
        <w:rPr>
          <w:rFonts w:ascii="宋体" w:hAnsi="宋体" w:cs="宋体"/>
          <w:b/>
          <w:bCs/>
        </w:rPr>
      </w:pPr>
      <w:bookmarkStart w:id="310" w:name="_Toc989201"/>
      <w:r>
        <w:rPr>
          <w:rFonts w:ascii="宋体" w:hAnsi="宋体" w:cs="宋体"/>
          <w:b/>
          <w:bCs/>
        </w:rPr>
        <w:t>31、长期借款</w:t>
      </w:r>
      <w:bookmarkEnd w:id="310"/>
    </w:p>
    <w:p w:rsidR="00BA0365" w:rsidRDefault="008D4B2E">
      <w:pPr>
        <w:keepNext/>
        <w:keepLines/>
        <w:spacing w:before="300" w:after="300" w:line="280" w:lineRule="exact"/>
        <w:outlineLvl w:val="3"/>
        <w:rPr>
          <w:rFonts w:ascii="宋体" w:eastAsia="宋体" w:hAnsi="宋体" w:cs="宋体"/>
          <w:b/>
          <w:bCs/>
          <w:sz w:val="18"/>
          <w:szCs w:val="18"/>
        </w:rPr>
      </w:pPr>
      <w:bookmarkStart w:id="311" w:name="_Toc989202"/>
      <w:r>
        <w:rPr>
          <w:rFonts w:ascii="宋体" w:eastAsia="宋体" w:hAnsi="宋体" w:cs="宋体"/>
          <w:b/>
          <w:bCs/>
          <w:sz w:val="18"/>
          <w:szCs w:val="18"/>
        </w:rPr>
        <w:t>（1） 长期借款分类</w:t>
      </w:r>
      <w:bookmarkEnd w:id="31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质押借款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17,851,792.21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2,280,000.00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抵押借款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717,628,335.29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943,146,700.00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保证借款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177,624,242.80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18,185,466.00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信用借款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29,900,000.00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943,004,370.30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963,612,166.00</w:t>
            </w:r>
          </w:p>
        </w:tc>
      </w:tr>
    </w:tbl>
    <w:p w:rsidR="00BA0365" w:rsidRDefault="008D4B2E" w:rsidP="00B818D2">
      <w:pPr>
        <w:rPr>
          <w:rFonts w:ascii="宋体" w:eastAsia="宋体" w:hAnsi="宋体" w:cs="宋体"/>
          <w:sz w:val="18"/>
          <w:szCs w:val="18"/>
        </w:rPr>
      </w:pPr>
      <w:r>
        <w:rPr>
          <w:rFonts w:ascii="宋体" w:eastAsia="宋体" w:hAnsi="宋体" w:cs="宋体"/>
          <w:sz w:val="18"/>
          <w:szCs w:val="18"/>
        </w:rPr>
        <w:t>长期借款分类的说明：</w:t>
      </w:r>
    </w:p>
    <w:p w:rsidR="008D4B2E" w:rsidRPr="00FC6EB6" w:rsidRDefault="008D4B2E" w:rsidP="00B818D2">
      <w:pPr>
        <w:ind w:firstLineChars="200" w:firstLine="360"/>
        <w:divId w:val="2140490561"/>
        <w:rPr>
          <w:rFonts w:ascii="宋体" w:eastAsia="宋体" w:hAnsi="宋体" w:cs="宋体"/>
          <w:sz w:val="18"/>
          <w:szCs w:val="18"/>
        </w:rPr>
      </w:pPr>
      <w:r w:rsidRPr="00FC6EB6">
        <w:rPr>
          <w:rFonts w:ascii="宋体" w:eastAsia="宋体" w:hAnsi="宋体" w:cs="宋体" w:hint="eastAsia"/>
          <w:sz w:val="18"/>
          <w:szCs w:val="18"/>
        </w:rPr>
        <w:t>①截止到2023年12月31日，公司在国家开发银行青岛分行抵押借款共 160,188,235.29 元，其中 60,188,235.29 元于2025年12月28日到期；100,000,000.00元于2024年12月28日到期，在一年内到期的非流动负债中列示。该 60,188,235.29 元借款抵押人</w:t>
      </w:r>
      <w:proofErr w:type="gramStart"/>
      <w:r w:rsidRPr="00FC6EB6">
        <w:rPr>
          <w:rFonts w:ascii="宋体" w:eastAsia="宋体" w:hAnsi="宋体" w:cs="宋体" w:hint="eastAsia"/>
          <w:sz w:val="18"/>
          <w:szCs w:val="18"/>
        </w:rPr>
        <w:t>青岛软控机电工程</w:t>
      </w:r>
      <w:proofErr w:type="gramEnd"/>
      <w:r w:rsidRPr="00FC6EB6">
        <w:rPr>
          <w:rFonts w:ascii="宋体" w:eastAsia="宋体" w:hAnsi="宋体" w:cs="宋体" w:hint="eastAsia"/>
          <w:sz w:val="18"/>
          <w:szCs w:val="18"/>
        </w:rPr>
        <w:t>有限公司、抵押国有土地使用权（胶国用（2009）第12-16号）及地上房产（房产证号：房权证</w:t>
      </w:r>
      <w:proofErr w:type="gramStart"/>
      <w:r w:rsidRPr="00FC6EB6">
        <w:rPr>
          <w:rFonts w:ascii="宋体" w:eastAsia="宋体" w:hAnsi="宋体" w:cs="宋体" w:hint="eastAsia"/>
          <w:sz w:val="18"/>
          <w:szCs w:val="18"/>
        </w:rPr>
        <w:t>胶自字</w:t>
      </w:r>
      <w:proofErr w:type="gramEnd"/>
      <w:r w:rsidRPr="00FC6EB6">
        <w:rPr>
          <w:rFonts w:ascii="宋体" w:eastAsia="宋体" w:hAnsi="宋体" w:cs="宋体" w:hint="eastAsia"/>
          <w:sz w:val="18"/>
          <w:szCs w:val="18"/>
        </w:rPr>
        <w:t>第52023号）；该 100,000,000.00 元借款抵押人</w:t>
      </w:r>
      <w:proofErr w:type="gramStart"/>
      <w:r w:rsidRPr="00FC6EB6">
        <w:rPr>
          <w:rFonts w:ascii="宋体" w:eastAsia="宋体" w:hAnsi="宋体" w:cs="宋体" w:hint="eastAsia"/>
          <w:sz w:val="18"/>
          <w:szCs w:val="18"/>
        </w:rPr>
        <w:t>青岛软控机电工程</w:t>
      </w:r>
      <w:proofErr w:type="gramEnd"/>
      <w:r w:rsidRPr="00FC6EB6">
        <w:rPr>
          <w:rFonts w:ascii="宋体" w:eastAsia="宋体" w:hAnsi="宋体" w:cs="宋体" w:hint="eastAsia"/>
          <w:sz w:val="18"/>
          <w:szCs w:val="18"/>
        </w:rPr>
        <w:t>有限公司、抵押国有土地使用权（胶国用（2009）第12-18号）及地上房产（房产证号：房</w:t>
      </w:r>
      <w:proofErr w:type="gramStart"/>
      <w:r w:rsidRPr="00FC6EB6">
        <w:rPr>
          <w:rFonts w:ascii="宋体" w:eastAsia="宋体" w:hAnsi="宋体" w:cs="宋体" w:hint="eastAsia"/>
          <w:sz w:val="18"/>
          <w:szCs w:val="18"/>
        </w:rPr>
        <w:t>权证胶自变字</w:t>
      </w:r>
      <w:proofErr w:type="gramEnd"/>
      <w:r w:rsidRPr="00FC6EB6">
        <w:rPr>
          <w:rFonts w:ascii="宋体" w:eastAsia="宋体" w:hAnsi="宋体" w:cs="宋体" w:hint="eastAsia"/>
          <w:sz w:val="18"/>
          <w:szCs w:val="18"/>
        </w:rPr>
        <w:t>第50578号）;涉及抵押固定资产原值共281,162,625.41元。</w:t>
      </w:r>
    </w:p>
    <w:p w:rsidR="008D4B2E" w:rsidRPr="00FC6EB6" w:rsidRDefault="008D4B2E" w:rsidP="00B818D2">
      <w:pPr>
        <w:ind w:firstLineChars="200" w:firstLine="360"/>
        <w:divId w:val="2140490561"/>
        <w:rPr>
          <w:rFonts w:ascii="宋体" w:eastAsia="宋体" w:hAnsi="宋体" w:cs="宋体"/>
          <w:sz w:val="18"/>
          <w:szCs w:val="18"/>
        </w:rPr>
      </w:pPr>
      <w:r w:rsidRPr="00FC6EB6">
        <w:rPr>
          <w:rFonts w:ascii="宋体" w:eastAsia="宋体" w:hAnsi="宋体" w:cs="宋体" w:hint="eastAsia"/>
          <w:sz w:val="18"/>
          <w:szCs w:val="18"/>
        </w:rPr>
        <w:t>②子公司益</w:t>
      </w:r>
      <w:proofErr w:type="gramStart"/>
      <w:r w:rsidRPr="00FC6EB6">
        <w:rPr>
          <w:rFonts w:ascii="宋体" w:eastAsia="宋体" w:hAnsi="宋体" w:cs="宋体" w:hint="eastAsia"/>
          <w:sz w:val="18"/>
          <w:szCs w:val="18"/>
        </w:rPr>
        <w:t>凯</w:t>
      </w:r>
      <w:proofErr w:type="gramEnd"/>
      <w:r w:rsidRPr="00FC6EB6">
        <w:rPr>
          <w:rFonts w:ascii="宋体" w:eastAsia="宋体" w:hAnsi="宋体" w:cs="宋体" w:hint="eastAsia"/>
          <w:sz w:val="18"/>
          <w:szCs w:val="18"/>
        </w:rPr>
        <w:t>新材料为建设【高性能橡胶新材料循环经济绿色一体化一期10.8万吨/年EVE胶项目】需要向中国工商股份有限公司青岛市南四支行牵头的银行筹借固定资产贷款，截止到2023年12月31日借款余额为657,440,100.00元，抵押国有建设用地使用权（鲁（2020）青岛市黄岛区不动产证明第0223630号），涉及抵押无形资产原值为141,700,217.35元。</w:t>
      </w:r>
    </w:p>
    <w:p w:rsidR="008D4B2E" w:rsidRPr="00FC6EB6" w:rsidRDefault="008D4B2E" w:rsidP="00B818D2">
      <w:pPr>
        <w:ind w:firstLineChars="200" w:firstLine="360"/>
        <w:divId w:val="2140490561"/>
        <w:rPr>
          <w:rFonts w:ascii="宋体" w:eastAsia="宋体" w:hAnsi="宋体" w:cs="宋体"/>
          <w:sz w:val="18"/>
          <w:szCs w:val="18"/>
        </w:rPr>
      </w:pPr>
      <w:r w:rsidRPr="00FC6EB6">
        <w:rPr>
          <w:rFonts w:ascii="宋体" w:eastAsia="宋体" w:hAnsi="宋体" w:cs="宋体" w:hint="eastAsia"/>
          <w:sz w:val="18"/>
          <w:szCs w:val="18"/>
        </w:rPr>
        <w:t>③子公司</w:t>
      </w:r>
      <w:proofErr w:type="gramStart"/>
      <w:r w:rsidRPr="00FC6EB6">
        <w:rPr>
          <w:rFonts w:ascii="宋体" w:eastAsia="宋体" w:hAnsi="宋体" w:cs="宋体" w:hint="eastAsia"/>
          <w:sz w:val="18"/>
          <w:szCs w:val="18"/>
        </w:rPr>
        <w:t>华控赛</w:t>
      </w:r>
      <w:proofErr w:type="gramEnd"/>
      <w:r w:rsidRPr="00FC6EB6">
        <w:rPr>
          <w:rFonts w:ascii="宋体" w:eastAsia="宋体" w:hAnsi="宋体" w:cs="宋体" w:hint="eastAsia"/>
          <w:sz w:val="18"/>
          <w:szCs w:val="18"/>
        </w:rPr>
        <w:t>联为8.2MW光</w:t>
      </w:r>
      <w:proofErr w:type="gramStart"/>
      <w:r w:rsidRPr="00FC6EB6">
        <w:rPr>
          <w:rFonts w:ascii="宋体" w:eastAsia="宋体" w:hAnsi="宋体" w:cs="宋体" w:hint="eastAsia"/>
          <w:sz w:val="18"/>
          <w:szCs w:val="18"/>
        </w:rPr>
        <w:t>伏项目</w:t>
      </w:r>
      <w:proofErr w:type="gramEnd"/>
      <w:r w:rsidRPr="00FC6EB6">
        <w:rPr>
          <w:rFonts w:ascii="宋体" w:eastAsia="宋体" w:hAnsi="宋体" w:cs="宋体" w:hint="eastAsia"/>
          <w:sz w:val="18"/>
          <w:szCs w:val="18"/>
        </w:rPr>
        <w:t>建设向中国银行青岛市北支行借款，截止到2023年12月31日借款余额17,851,792.21元，该17,851,792.21元借款为质押方式，由青岛华控赛联新能源科技有限公司提供电费收费权质押担保，由青岛华控能源科技有限公司提供连带责任担保，质押收费权评估价值51,695,000.00元，收费期限25年。</w:t>
      </w:r>
    </w:p>
    <w:p w:rsidR="00BA0365" w:rsidRDefault="008D4B2E">
      <w:pPr>
        <w:pStyle w:val="3"/>
        <w:spacing w:line="280" w:lineRule="exact"/>
        <w:jc w:val="left"/>
        <w:rPr>
          <w:rFonts w:ascii="宋体" w:hAnsi="宋体" w:cs="宋体"/>
          <w:b/>
          <w:bCs/>
        </w:rPr>
      </w:pPr>
      <w:bookmarkStart w:id="312" w:name="_Toc989203"/>
      <w:r>
        <w:rPr>
          <w:rFonts w:ascii="宋体" w:hAnsi="宋体" w:cs="宋体"/>
          <w:b/>
          <w:bCs/>
        </w:rPr>
        <w:t>32、租赁负债</w:t>
      </w:r>
      <w:bookmarkEnd w:id="31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租赁负债-租赁付款额合计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47,273,933.23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56,853,394.75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减：租赁负债—未确认融资费用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-4,959,804.46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-8,949,267.50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减：一年内到期的租赁负债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-13,079,254.13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-8,128,876.12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29,234,874.64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39,775,251.13</w:t>
            </w:r>
          </w:p>
        </w:tc>
      </w:tr>
    </w:tbl>
    <w:p w:rsidR="00BA0365" w:rsidRDefault="008D4B2E">
      <w:pPr>
        <w:pStyle w:val="3"/>
        <w:spacing w:line="280" w:lineRule="exact"/>
        <w:jc w:val="left"/>
        <w:rPr>
          <w:rFonts w:ascii="宋体" w:hAnsi="宋体" w:cs="宋体"/>
          <w:b/>
          <w:bCs/>
        </w:rPr>
      </w:pPr>
      <w:bookmarkStart w:id="313" w:name="_Toc989204"/>
      <w:r>
        <w:rPr>
          <w:rFonts w:ascii="宋体" w:hAnsi="宋体" w:cs="宋体"/>
          <w:b/>
          <w:bCs/>
        </w:rPr>
        <w:t>33、预计负债</w:t>
      </w:r>
      <w:bookmarkEnd w:id="31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未决诉讼</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1,478,256.41</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见说明②</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产品质量保证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18,748,876.53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见说明①</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23,012,334.20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20,227,132.94</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Pr="00152E2B" w:rsidRDefault="008D4B2E" w:rsidP="00B818D2">
      <w:pPr>
        <w:rPr>
          <w:rFonts w:asciiTheme="minorEastAsia" w:hAnsiTheme="minorEastAsia"/>
        </w:rPr>
      </w:pPr>
      <w:r w:rsidRPr="00152E2B">
        <w:rPr>
          <w:rFonts w:asciiTheme="minorEastAsia" w:hAnsiTheme="minorEastAsia"/>
        </w:rPr>
        <w:t>其他说明，包括重要预计负债的相关重要假设、估计说明：</w:t>
      </w:r>
    </w:p>
    <w:p w:rsidR="00B818D2" w:rsidRPr="00152E2B" w:rsidRDefault="00B818D2" w:rsidP="00B818D2">
      <w:pPr>
        <w:ind w:firstLine="360"/>
        <w:divId w:val="694426366"/>
        <w:rPr>
          <w:rFonts w:asciiTheme="minorEastAsia" w:hAnsiTheme="minorEastAsia"/>
        </w:rPr>
      </w:pPr>
      <w:r w:rsidRPr="00152E2B">
        <w:rPr>
          <w:rFonts w:asciiTheme="minorEastAsia" w:hAnsiTheme="minorEastAsia" w:hint="eastAsia"/>
        </w:rPr>
        <w:t>①</w:t>
      </w:r>
      <w:r w:rsidR="008D4B2E" w:rsidRPr="00152E2B">
        <w:rPr>
          <w:rFonts w:asciiTheme="minorEastAsia" w:hAnsiTheme="minorEastAsia" w:hint="eastAsia"/>
        </w:rPr>
        <w:t>公司按橡胶装备业务收入的</w:t>
      </w:r>
      <w:r w:rsidR="008D4B2E" w:rsidRPr="00152E2B">
        <w:rPr>
          <w:rFonts w:asciiTheme="minorEastAsia" w:hAnsiTheme="minorEastAsia"/>
        </w:rPr>
        <w:t>0.5%</w:t>
      </w:r>
      <w:r w:rsidR="008D4B2E" w:rsidRPr="00152E2B">
        <w:rPr>
          <w:rFonts w:asciiTheme="minorEastAsia" w:hAnsiTheme="minorEastAsia" w:hint="eastAsia"/>
        </w:rPr>
        <w:t>计提售后服务费。</w:t>
      </w:r>
    </w:p>
    <w:p w:rsidR="008D4B2E" w:rsidRPr="00152E2B" w:rsidRDefault="008D4B2E" w:rsidP="00B818D2">
      <w:pPr>
        <w:ind w:firstLine="360"/>
        <w:divId w:val="694426366"/>
        <w:rPr>
          <w:rFonts w:asciiTheme="minorEastAsia" w:hAnsiTheme="minorEastAsia" w:cs="宋体"/>
          <w:sz w:val="18"/>
          <w:szCs w:val="18"/>
        </w:rPr>
      </w:pPr>
      <w:r w:rsidRPr="00152E2B">
        <w:rPr>
          <w:rFonts w:asciiTheme="minorEastAsia" w:hAnsiTheme="minorEastAsia" w:hint="eastAsia"/>
        </w:rPr>
        <w:t>②</w:t>
      </w:r>
      <w:r w:rsidRPr="00152E2B">
        <w:rPr>
          <w:rFonts w:asciiTheme="minorEastAsia" w:hAnsiTheme="minorEastAsia"/>
        </w:rPr>
        <w:t>2020-12-29</w:t>
      </w:r>
      <w:r w:rsidRPr="00152E2B">
        <w:rPr>
          <w:rFonts w:asciiTheme="minorEastAsia" w:hAnsiTheme="minorEastAsia" w:hint="eastAsia"/>
        </w:rPr>
        <w:t>天津市宝坻区人民法院民事判决书（</w:t>
      </w:r>
      <w:r w:rsidRPr="00152E2B">
        <w:rPr>
          <w:rFonts w:asciiTheme="minorEastAsia" w:hAnsiTheme="minorEastAsia"/>
        </w:rPr>
        <w:t>2020</w:t>
      </w:r>
      <w:r w:rsidRPr="00152E2B">
        <w:rPr>
          <w:rFonts w:asciiTheme="minorEastAsia" w:hAnsiTheme="minorEastAsia" w:hint="eastAsia"/>
        </w:rPr>
        <w:t>）津</w:t>
      </w:r>
      <w:r w:rsidRPr="00152E2B">
        <w:rPr>
          <w:rFonts w:asciiTheme="minorEastAsia" w:hAnsiTheme="minorEastAsia"/>
        </w:rPr>
        <w:t>1115</w:t>
      </w:r>
      <w:r w:rsidRPr="00152E2B">
        <w:rPr>
          <w:rFonts w:asciiTheme="minorEastAsia" w:hAnsiTheme="minorEastAsia" w:hint="eastAsia"/>
        </w:rPr>
        <w:t>民初</w:t>
      </w:r>
      <w:r w:rsidRPr="00152E2B">
        <w:rPr>
          <w:rFonts w:asciiTheme="minorEastAsia" w:hAnsiTheme="minorEastAsia"/>
        </w:rPr>
        <w:t>1151</w:t>
      </w:r>
      <w:r w:rsidRPr="00152E2B">
        <w:rPr>
          <w:rFonts w:asciiTheme="minorEastAsia" w:hAnsiTheme="minorEastAsia" w:hint="eastAsia"/>
        </w:rPr>
        <w:t>号，</w:t>
      </w:r>
      <w:proofErr w:type="gramStart"/>
      <w:r w:rsidRPr="00152E2B">
        <w:rPr>
          <w:rFonts w:asciiTheme="minorEastAsia" w:hAnsiTheme="minorEastAsia" w:hint="eastAsia"/>
        </w:rPr>
        <w:t>青岛软控机电工程</w:t>
      </w:r>
      <w:proofErr w:type="gramEnd"/>
      <w:r w:rsidRPr="00152E2B">
        <w:rPr>
          <w:rFonts w:asciiTheme="minorEastAsia" w:hAnsiTheme="minorEastAsia" w:hint="eastAsia"/>
        </w:rPr>
        <w:t>有限公司与天津荣</w:t>
      </w:r>
      <w:proofErr w:type="gramStart"/>
      <w:r w:rsidRPr="00152E2B">
        <w:rPr>
          <w:rFonts w:asciiTheme="minorEastAsia" w:hAnsiTheme="minorEastAsia" w:hint="eastAsia"/>
        </w:rPr>
        <w:t>盛盟固利</w:t>
      </w:r>
      <w:proofErr w:type="gramEnd"/>
      <w:r w:rsidRPr="00152E2B">
        <w:rPr>
          <w:rFonts w:asciiTheme="minorEastAsia" w:hAnsiTheme="minorEastAsia" w:hint="eastAsia"/>
        </w:rPr>
        <w:t>新能源科技有限公司买卖合同纠纷</w:t>
      </w:r>
      <w:proofErr w:type="gramStart"/>
      <w:r w:rsidRPr="00152E2B">
        <w:rPr>
          <w:rFonts w:asciiTheme="minorEastAsia" w:hAnsiTheme="minorEastAsia" w:hint="eastAsia"/>
        </w:rPr>
        <w:t>作出</w:t>
      </w:r>
      <w:proofErr w:type="gramEnd"/>
      <w:r w:rsidRPr="00152E2B">
        <w:rPr>
          <w:rFonts w:asciiTheme="minorEastAsia" w:hAnsiTheme="minorEastAsia" w:hint="eastAsia"/>
        </w:rPr>
        <w:t>一审判决</w:t>
      </w:r>
      <w:r w:rsidRPr="00152E2B">
        <w:rPr>
          <w:rFonts w:asciiTheme="minorEastAsia" w:hAnsiTheme="minorEastAsia"/>
        </w:rPr>
        <w:t>,</w:t>
      </w:r>
      <w:proofErr w:type="gramStart"/>
      <w:r w:rsidRPr="00152E2B">
        <w:rPr>
          <w:rFonts w:asciiTheme="minorEastAsia" w:hAnsiTheme="minorEastAsia" w:hint="eastAsia"/>
        </w:rPr>
        <w:t>青岛软控机电工程</w:t>
      </w:r>
      <w:proofErr w:type="gramEnd"/>
      <w:r w:rsidRPr="00152E2B">
        <w:rPr>
          <w:rFonts w:asciiTheme="minorEastAsia" w:hAnsiTheme="minorEastAsia" w:hint="eastAsia"/>
        </w:rPr>
        <w:t>有限公司需支付</w:t>
      </w:r>
      <w:r w:rsidRPr="00152E2B">
        <w:rPr>
          <w:rFonts w:asciiTheme="minorEastAsia" w:hAnsiTheme="minorEastAsia"/>
        </w:rPr>
        <w:t>1,478,256.41</w:t>
      </w:r>
      <w:r w:rsidRPr="00152E2B">
        <w:rPr>
          <w:rFonts w:asciiTheme="minorEastAsia" w:hAnsiTheme="minorEastAsia" w:hint="eastAsia"/>
        </w:rPr>
        <w:t>元违约金。由于</w:t>
      </w:r>
      <w:proofErr w:type="gramStart"/>
      <w:r w:rsidRPr="00152E2B">
        <w:rPr>
          <w:rFonts w:asciiTheme="minorEastAsia" w:hAnsiTheme="minorEastAsia" w:hint="eastAsia"/>
        </w:rPr>
        <w:t>青岛软控机电工程</w:t>
      </w:r>
      <w:proofErr w:type="gramEnd"/>
      <w:r w:rsidRPr="00152E2B">
        <w:rPr>
          <w:rFonts w:asciiTheme="minorEastAsia" w:hAnsiTheme="minorEastAsia" w:hint="eastAsia"/>
        </w:rPr>
        <w:t>有限公司对此判决不服，</w:t>
      </w:r>
      <w:r w:rsidRPr="00152E2B">
        <w:rPr>
          <w:rFonts w:asciiTheme="minorEastAsia" w:hAnsiTheme="minorEastAsia"/>
        </w:rPr>
        <w:t>2021</w:t>
      </w:r>
      <w:r w:rsidRPr="00152E2B">
        <w:rPr>
          <w:rFonts w:asciiTheme="minorEastAsia" w:hAnsiTheme="minorEastAsia" w:hint="eastAsia"/>
        </w:rPr>
        <w:t>年已经上诉。</w:t>
      </w:r>
      <w:r w:rsidRPr="00152E2B">
        <w:rPr>
          <w:rFonts w:asciiTheme="minorEastAsia" w:hAnsiTheme="minorEastAsia"/>
        </w:rPr>
        <w:t>2021-06-16</w:t>
      </w:r>
      <w:r w:rsidRPr="00152E2B">
        <w:rPr>
          <w:rFonts w:asciiTheme="minorEastAsia" w:hAnsiTheme="minorEastAsia" w:hint="eastAsia"/>
        </w:rPr>
        <w:t>天津市第一人民法院民事裁定书（</w:t>
      </w:r>
      <w:r w:rsidRPr="00152E2B">
        <w:rPr>
          <w:rFonts w:asciiTheme="minorEastAsia" w:hAnsiTheme="minorEastAsia"/>
        </w:rPr>
        <w:t>2021</w:t>
      </w:r>
      <w:r w:rsidRPr="00152E2B">
        <w:rPr>
          <w:rFonts w:asciiTheme="minorEastAsia" w:hAnsiTheme="minorEastAsia" w:hint="eastAsia"/>
        </w:rPr>
        <w:t>）津</w:t>
      </w:r>
      <w:r w:rsidRPr="00152E2B">
        <w:rPr>
          <w:rFonts w:asciiTheme="minorEastAsia" w:hAnsiTheme="minorEastAsia"/>
        </w:rPr>
        <w:t>01</w:t>
      </w:r>
      <w:proofErr w:type="gramStart"/>
      <w:r w:rsidRPr="00152E2B">
        <w:rPr>
          <w:rFonts w:asciiTheme="minorEastAsia" w:hAnsiTheme="minorEastAsia" w:hint="eastAsia"/>
        </w:rPr>
        <w:t>民终</w:t>
      </w:r>
      <w:r w:rsidRPr="00152E2B">
        <w:rPr>
          <w:rFonts w:asciiTheme="minorEastAsia" w:hAnsiTheme="minorEastAsia"/>
        </w:rPr>
        <w:t>1533</w:t>
      </w:r>
      <w:r w:rsidRPr="00152E2B">
        <w:rPr>
          <w:rFonts w:asciiTheme="minorEastAsia" w:hAnsiTheme="minorEastAsia" w:hint="eastAsia"/>
        </w:rPr>
        <w:t>号</w:t>
      </w:r>
      <w:proofErr w:type="gramEnd"/>
      <w:r w:rsidRPr="00152E2B">
        <w:rPr>
          <w:rFonts w:asciiTheme="minorEastAsia" w:hAnsiTheme="minorEastAsia" w:hint="eastAsia"/>
        </w:rPr>
        <w:t>，裁定撤销天津市宝坻区人民法院（</w:t>
      </w:r>
      <w:r w:rsidRPr="00152E2B">
        <w:rPr>
          <w:rFonts w:asciiTheme="minorEastAsia" w:hAnsiTheme="minorEastAsia"/>
        </w:rPr>
        <w:t>2020</w:t>
      </w:r>
      <w:r w:rsidRPr="00152E2B">
        <w:rPr>
          <w:rFonts w:asciiTheme="minorEastAsia" w:hAnsiTheme="minorEastAsia" w:hint="eastAsia"/>
        </w:rPr>
        <w:t>）津</w:t>
      </w:r>
      <w:r w:rsidRPr="00152E2B">
        <w:rPr>
          <w:rFonts w:asciiTheme="minorEastAsia" w:hAnsiTheme="minorEastAsia"/>
        </w:rPr>
        <w:t>0115</w:t>
      </w:r>
      <w:r w:rsidRPr="00152E2B">
        <w:rPr>
          <w:rFonts w:asciiTheme="minorEastAsia" w:hAnsiTheme="minorEastAsia" w:hint="eastAsia"/>
        </w:rPr>
        <w:t>民初</w:t>
      </w:r>
      <w:r w:rsidRPr="00152E2B">
        <w:rPr>
          <w:rFonts w:asciiTheme="minorEastAsia" w:hAnsiTheme="minorEastAsia"/>
        </w:rPr>
        <w:t>8151</w:t>
      </w:r>
      <w:r w:rsidRPr="00152E2B">
        <w:rPr>
          <w:rFonts w:asciiTheme="minorEastAsia" w:hAnsiTheme="minorEastAsia" w:hint="eastAsia"/>
        </w:rPr>
        <w:t>号民事裁决，本案发回天津市宝坻区人民法院重审。</w:t>
      </w:r>
      <w:r w:rsidRPr="00152E2B">
        <w:rPr>
          <w:rFonts w:asciiTheme="minorEastAsia" w:hAnsiTheme="minorEastAsia"/>
        </w:rPr>
        <w:t>2023</w:t>
      </w:r>
      <w:r w:rsidRPr="00152E2B">
        <w:rPr>
          <w:rFonts w:asciiTheme="minorEastAsia" w:hAnsiTheme="minorEastAsia" w:hint="eastAsia"/>
        </w:rPr>
        <w:t>年</w:t>
      </w:r>
      <w:r w:rsidRPr="00152E2B">
        <w:rPr>
          <w:rFonts w:asciiTheme="minorEastAsia" w:hAnsiTheme="minorEastAsia"/>
        </w:rPr>
        <w:t>10</w:t>
      </w:r>
      <w:r w:rsidRPr="00152E2B">
        <w:rPr>
          <w:rFonts w:asciiTheme="minorEastAsia" w:hAnsiTheme="minorEastAsia" w:hint="eastAsia"/>
        </w:rPr>
        <w:t>月</w:t>
      </w:r>
      <w:r w:rsidRPr="00152E2B">
        <w:rPr>
          <w:rFonts w:asciiTheme="minorEastAsia" w:hAnsiTheme="minorEastAsia"/>
        </w:rPr>
        <w:t>24</w:t>
      </w:r>
      <w:r w:rsidRPr="00152E2B">
        <w:rPr>
          <w:rFonts w:asciiTheme="minorEastAsia" w:hAnsiTheme="minorEastAsia" w:hint="eastAsia"/>
        </w:rPr>
        <w:t>日，天津市宝坻区人民法院民事调解书（</w:t>
      </w:r>
      <w:r w:rsidRPr="00152E2B">
        <w:rPr>
          <w:rFonts w:asciiTheme="minorEastAsia" w:hAnsiTheme="minorEastAsia"/>
        </w:rPr>
        <w:t>2020</w:t>
      </w:r>
      <w:r w:rsidRPr="00152E2B">
        <w:rPr>
          <w:rFonts w:asciiTheme="minorEastAsia" w:hAnsiTheme="minorEastAsia" w:hint="eastAsia"/>
        </w:rPr>
        <w:t>）津</w:t>
      </w:r>
      <w:r w:rsidRPr="00152E2B">
        <w:rPr>
          <w:rFonts w:asciiTheme="minorEastAsia" w:hAnsiTheme="minorEastAsia"/>
        </w:rPr>
        <w:t>0115</w:t>
      </w:r>
      <w:r w:rsidRPr="00152E2B">
        <w:rPr>
          <w:rFonts w:asciiTheme="minorEastAsia" w:hAnsiTheme="minorEastAsia" w:hint="eastAsia"/>
        </w:rPr>
        <w:t>民初</w:t>
      </w:r>
      <w:r w:rsidRPr="00152E2B">
        <w:rPr>
          <w:rFonts w:asciiTheme="minorEastAsia" w:hAnsiTheme="minorEastAsia"/>
        </w:rPr>
        <w:t>8080</w:t>
      </w:r>
      <w:r w:rsidRPr="00152E2B">
        <w:rPr>
          <w:rFonts w:asciiTheme="minorEastAsia" w:hAnsiTheme="minorEastAsia" w:hint="eastAsia"/>
        </w:rPr>
        <w:t>号，天津荣</w:t>
      </w:r>
      <w:proofErr w:type="gramStart"/>
      <w:r w:rsidRPr="00152E2B">
        <w:rPr>
          <w:rFonts w:asciiTheme="minorEastAsia" w:hAnsiTheme="minorEastAsia" w:hint="eastAsia"/>
        </w:rPr>
        <w:t>盛盟固利</w:t>
      </w:r>
      <w:proofErr w:type="gramEnd"/>
      <w:r w:rsidRPr="00152E2B">
        <w:rPr>
          <w:rFonts w:asciiTheme="minorEastAsia" w:hAnsiTheme="minorEastAsia" w:hint="eastAsia"/>
        </w:rPr>
        <w:t>新能源科技有限公司于</w:t>
      </w:r>
      <w:r w:rsidRPr="00152E2B">
        <w:rPr>
          <w:rFonts w:asciiTheme="minorEastAsia" w:hAnsiTheme="minorEastAsia"/>
        </w:rPr>
        <w:t>2023</w:t>
      </w:r>
      <w:r w:rsidRPr="00152E2B">
        <w:rPr>
          <w:rFonts w:asciiTheme="minorEastAsia" w:hAnsiTheme="minorEastAsia" w:hint="eastAsia"/>
        </w:rPr>
        <w:t>年</w:t>
      </w:r>
      <w:r w:rsidRPr="00152E2B">
        <w:rPr>
          <w:rFonts w:asciiTheme="minorEastAsia" w:hAnsiTheme="minorEastAsia"/>
        </w:rPr>
        <w:t>11</w:t>
      </w:r>
      <w:r w:rsidRPr="00152E2B">
        <w:rPr>
          <w:rFonts w:asciiTheme="minorEastAsia" w:hAnsiTheme="minorEastAsia" w:hint="eastAsia"/>
        </w:rPr>
        <w:t>月</w:t>
      </w:r>
      <w:r w:rsidRPr="00152E2B">
        <w:rPr>
          <w:rFonts w:asciiTheme="minorEastAsia" w:hAnsiTheme="minorEastAsia"/>
        </w:rPr>
        <w:t>24</w:t>
      </w:r>
      <w:r w:rsidRPr="00152E2B">
        <w:rPr>
          <w:rFonts w:asciiTheme="minorEastAsia" w:hAnsiTheme="minorEastAsia" w:hint="eastAsia"/>
        </w:rPr>
        <w:t>日前支付</w:t>
      </w:r>
      <w:proofErr w:type="gramStart"/>
      <w:r w:rsidRPr="00152E2B">
        <w:rPr>
          <w:rFonts w:asciiTheme="minorEastAsia" w:hAnsiTheme="minorEastAsia" w:hint="eastAsia"/>
        </w:rPr>
        <w:t>青岛软控机电工程</w:t>
      </w:r>
      <w:proofErr w:type="gramEnd"/>
      <w:r w:rsidRPr="00152E2B">
        <w:rPr>
          <w:rFonts w:asciiTheme="minorEastAsia" w:hAnsiTheme="minorEastAsia" w:hint="eastAsia"/>
        </w:rPr>
        <w:t>有限公司设备款</w:t>
      </w:r>
      <w:r w:rsidRPr="00152E2B">
        <w:rPr>
          <w:rFonts w:asciiTheme="minorEastAsia" w:hAnsiTheme="minorEastAsia"/>
        </w:rPr>
        <w:t>3,910,615.40</w:t>
      </w:r>
      <w:r w:rsidRPr="00152E2B">
        <w:rPr>
          <w:rFonts w:asciiTheme="minorEastAsia" w:hAnsiTheme="minorEastAsia" w:hint="eastAsia"/>
        </w:rPr>
        <w:t>元。民事裁定书（</w:t>
      </w:r>
      <w:r w:rsidRPr="00152E2B">
        <w:rPr>
          <w:rFonts w:asciiTheme="minorEastAsia" w:hAnsiTheme="minorEastAsia"/>
        </w:rPr>
        <w:t>2021</w:t>
      </w:r>
      <w:r w:rsidRPr="00152E2B">
        <w:rPr>
          <w:rFonts w:asciiTheme="minorEastAsia" w:hAnsiTheme="minorEastAsia" w:hint="eastAsia"/>
        </w:rPr>
        <w:t>）津</w:t>
      </w:r>
      <w:r w:rsidRPr="00152E2B">
        <w:rPr>
          <w:rFonts w:asciiTheme="minorEastAsia" w:hAnsiTheme="minorEastAsia"/>
        </w:rPr>
        <w:t>1115</w:t>
      </w:r>
      <w:r w:rsidRPr="00152E2B">
        <w:rPr>
          <w:rFonts w:asciiTheme="minorEastAsia" w:hAnsiTheme="minorEastAsia" w:hint="eastAsia"/>
        </w:rPr>
        <w:t>民初</w:t>
      </w:r>
      <w:r w:rsidRPr="00152E2B">
        <w:rPr>
          <w:rFonts w:asciiTheme="minorEastAsia" w:hAnsiTheme="minorEastAsia"/>
        </w:rPr>
        <w:t>6046</w:t>
      </w:r>
      <w:r w:rsidRPr="00152E2B">
        <w:rPr>
          <w:rFonts w:asciiTheme="minorEastAsia" w:hAnsiTheme="minorEastAsia" w:hint="eastAsia"/>
        </w:rPr>
        <w:t>号之三，解除对</w:t>
      </w:r>
      <w:proofErr w:type="gramStart"/>
      <w:r w:rsidRPr="00152E2B">
        <w:rPr>
          <w:rFonts w:asciiTheme="minorEastAsia" w:hAnsiTheme="minorEastAsia" w:hint="eastAsia"/>
        </w:rPr>
        <w:t>青岛软控机电工程</w:t>
      </w:r>
      <w:proofErr w:type="gramEnd"/>
      <w:r w:rsidRPr="00152E2B">
        <w:rPr>
          <w:rFonts w:asciiTheme="minorEastAsia" w:hAnsiTheme="minorEastAsia" w:hint="eastAsia"/>
        </w:rPr>
        <w:t>有限公司银行存款</w:t>
      </w:r>
      <w:r w:rsidRPr="00152E2B">
        <w:rPr>
          <w:rFonts w:asciiTheme="minorEastAsia" w:hAnsiTheme="minorEastAsia"/>
        </w:rPr>
        <w:t>7,472,256.41</w:t>
      </w:r>
      <w:r w:rsidRPr="00152E2B">
        <w:rPr>
          <w:rFonts w:asciiTheme="minorEastAsia" w:hAnsiTheme="minorEastAsia" w:hint="eastAsia"/>
        </w:rPr>
        <w:t>元的查封。</w:t>
      </w:r>
    </w:p>
    <w:p w:rsidR="00BA0365" w:rsidRDefault="008D4B2E">
      <w:pPr>
        <w:pStyle w:val="3"/>
        <w:spacing w:line="280" w:lineRule="exact"/>
        <w:jc w:val="left"/>
        <w:rPr>
          <w:rFonts w:ascii="宋体" w:hAnsi="宋体" w:cs="宋体"/>
          <w:b/>
          <w:bCs/>
        </w:rPr>
      </w:pPr>
      <w:bookmarkStart w:id="314" w:name="_Toc989205"/>
      <w:r>
        <w:rPr>
          <w:rFonts w:ascii="宋体" w:hAnsi="宋体" w:cs="宋体"/>
          <w:b/>
          <w:bCs/>
        </w:rPr>
        <w:lastRenderedPageBreak/>
        <w:t>34、递延收益</w:t>
      </w:r>
      <w:bookmarkEnd w:id="31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07"/>
        <w:gridCol w:w="1607"/>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形成原因</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政府补助</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64,265,531.12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4,207,800.00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2,400,223.16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66,073,107.96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64,265,531.12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4,207,800.00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2,400,223.16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66,073,107.96</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D4B2E" w:rsidRPr="00FC6EB6" w:rsidRDefault="008D4B2E" w:rsidP="00FC6EB6">
      <w:pPr>
        <w:spacing w:line="240" w:lineRule="exact"/>
        <w:divId w:val="1601255595"/>
        <w:rPr>
          <w:rFonts w:ascii="宋体" w:eastAsia="宋体" w:hAnsi="宋体" w:cs="宋体"/>
          <w:sz w:val="18"/>
          <w:szCs w:val="18"/>
        </w:rPr>
      </w:pPr>
      <w:r w:rsidRPr="00FC6EB6">
        <w:rPr>
          <w:rFonts w:ascii="宋体" w:eastAsia="宋体" w:hAnsi="宋体" w:cs="宋体" w:hint="eastAsia"/>
          <w:sz w:val="18"/>
          <w:szCs w:val="18"/>
        </w:rPr>
        <w:t>其中，涉及政府补助的项目：</w:t>
      </w:r>
    </w:p>
    <w:tbl>
      <w:tblPr>
        <w:tblW w:w="0" w:type="auto"/>
        <w:jc w:val="center"/>
        <w:tblCellMar>
          <w:left w:w="0" w:type="dxa"/>
          <w:right w:w="0" w:type="dxa"/>
        </w:tblCellMar>
        <w:tblLook w:val="04A0" w:firstRow="1" w:lastRow="0" w:firstColumn="1" w:lastColumn="0" w:noHBand="0" w:noVBand="1"/>
      </w:tblPr>
      <w:tblGrid>
        <w:gridCol w:w="1725"/>
        <w:gridCol w:w="1386"/>
        <w:gridCol w:w="1296"/>
        <w:gridCol w:w="706"/>
        <w:gridCol w:w="1168"/>
        <w:gridCol w:w="654"/>
        <w:gridCol w:w="1296"/>
        <w:gridCol w:w="1386"/>
      </w:tblGrid>
      <w:tr w:rsidR="008D4B2E" w:rsidTr="00152E2B">
        <w:trPr>
          <w:divId w:val="1601255595"/>
          <w:trHeight w:val="421"/>
          <w:tblHeade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补助项目</w:t>
            </w:r>
          </w:p>
        </w:tc>
        <w:tc>
          <w:tcPr>
            <w:tcW w:w="0" w:type="auto"/>
            <w:vMerge w:val="restar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年初余额</w:t>
            </w:r>
          </w:p>
        </w:tc>
        <w:tc>
          <w:tcPr>
            <w:tcW w:w="0" w:type="auto"/>
            <w:vMerge w:val="restar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本期增加</w:t>
            </w:r>
          </w:p>
        </w:tc>
        <w:tc>
          <w:tcPr>
            <w:tcW w:w="0" w:type="auto"/>
            <w:gridSpan w:val="4"/>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本期减少</w:t>
            </w:r>
          </w:p>
        </w:tc>
        <w:tc>
          <w:tcPr>
            <w:tcW w:w="0" w:type="auto"/>
            <w:vMerge w:val="restar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期末余额</w:t>
            </w:r>
          </w:p>
        </w:tc>
      </w:tr>
      <w:tr w:rsidR="008D4B2E" w:rsidTr="00152E2B">
        <w:trPr>
          <w:divId w:val="1601255595"/>
          <w:trHeight w:val="421"/>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FC6EB6" w:rsidRDefault="008D4B2E" w:rsidP="00FC6EB6">
            <w:pPr>
              <w:spacing w:line="240" w:lineRule="exact"/>
              <w:rPr>
                <w:rFonts w:ascii="宋体" w:eastAsia="宋体" w:hAnsi="宋体" w:cs="宋体"/>
                <w:sz w:val="18"/>
                <w:szCs w:val="18"/>
              </w:rPr>
            </w:pPr>
          </w:p>
        </w:tc>
        <w:tc>
          <w:tcPr>
            <w:tcW w:w="0" w:type="auto"/>
            <w:vMerge/>
            <w:tcBorders>
              <w:top w:val="single" w:sz="8" w:space="0" w:color="auto"/>
              <w:left w:val="nil"/>
              <w:bottom w:val="single" w:sz="8" w:space="0" w:color="auto"/>
              <w:right w:val="single" w:sz="8" w:space="0" w:color="auto"/>
            </w:tcBorders>
            <w:shd w:val="clear" w:color="auto" w:fill="D3D3D3"/>
            <w:vAlign w:val="center"/>
            <w:hideMark/>
          </w:tcPr>
          <w:p w:rsidR="008D4B2E" w:rsidRPr="00FC6EB6" w:rsidRDefault="008D4B2E" w:rsidP="00FC6EB6">
            <w:pPr>
              <w:spacing w:line="240" w:lineRule="exact"/>
              <w:rPr>
                <w:rFonts w:ascii="宋体" w:eastAsia="宋体" w:hAnsi="宋体" w:cs="宋体"/>
                <w:sz w:val="18"/>
                <w:szCs w:val="18"/>
              </w:rPr>
            </w:pPr>
          </w:p>
        </w:tc>
        <w:tc>
          <w:tcPr>
            <w:tcW w:w="0" w:type="auto"/>
            <w:vMerge/>
            <w:tcBorders>
              <w:top w:val="single" w:sz="8" w:space="0" w:color="auto"/>
              <w:left w:val="nil"/>
              <w:bottom w:val="single" w:sz="8" w:space="0" w:color="auto"/>
              <w:right w:val="single" w:sz="8" w:space="0" w:color="auto"/>
            </w:tcBorders>
            <w:shd w:val="clear" w:color="auto" w:fill="D3D3D3"/>
            <w:vAlign w:val="center"/>
            <w:hideMark/>
          </w:tcPr>
          <w:p w:rsidR="008D4B2E" w:rsidRPr="00FC6EB6" w:rsidRDefault="008D4B2E" w:rsidP="00FC6EB6">
            <w:pPr>
              <w:spacing w:line="240" w:lineRule="exact"/>
              <w:rPr>
                <w:rFonts w:ascii="宋体" w:eastAsia="宋体" w:hAnsi="宋体" w:cs="宋体"/>
                <w:sz w:val="18"/>
                <w:szCs w:val="18"/>
              </w:rPr>
            </w:pPr>
          </w:p>
        </w:tc>
        <w:tc>
          <w:tcPr>
            <w:tcW w:w="0" w:type="auto"/>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pStyle w:val="a3"/>
              <w:spacing w:before="0" w:beforeAutospacing="0" w:after="0" w:afterAutospacing="0" w:line="240" w:lineRule="exact"/>
              <w:jc w:val="center"/>
              <w:rPr>
                <w:kern w:val="2"/>
                <w:sz w:val="18"/>
                <w:szCs w:val="18"/>
              </w:rPr>
            </w:pPr>
            <w:r w:rsidRPr="00FC6EB6">
              <w:rPr>
                <w:rFonts w:hint="eastAsia"/>
                <w:kern w:val="2"/>
                <w:sz w:val="18"/>
                <w:szCs w:val="18"/>
              </w:rPr>
              <w:t>计入营业外收入</w:t>
            </w:r>
          </w:p>
        </w:tc>
        <w:tc>
          <w:tcPr>
            <w:tcW w:w="0" w:type="auto"/>
            <w:tcBorders>
              <w:top w:val="nil"/>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pStyle w:val="a3"/>
              <w:spacing w:before="0" w:beforeAutospacing="0" w:after="0" w:afterAutospacing="0" w:line="240" w:lineRule="exact"/>
              <w:jc w:val="center"/>
              <w:rPr>
                <w:kern w:val="2"/>
                <w:sz w:val="18"/>
                <w:szCs w:val="18"/>
              </w:rPr>
            </w:pPr>
            <w:r w:rsidRPr="00FC6EB6">
              <w:rPr>
                <w:rFonts w:hint="eastAsia"/>
                <w:kern w:val="2"/>
                <w:sz w:val="18"/>
                <w:szCs w:val="18"/>
              </w:rPr>
              <w:t>计入其他收益</w:t>
            </w:r>
          </w:p>
        </w:tc>
        <w:tc>
          <w:tcPr>
            <w:tcW w:w="0" w:type="auto"/>
            <w:tcBorders>
              <w:top w:val="nil"/>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pStyle w:val="a3"/>
              <w:spacing w:before="0" w:beforeAutospacing="0" w:after="0" w:afterAutospacing="0" w:line="240" w:lineRule="exact"/>
              <w:jc w:val="center"/>
              <w:rPr>
                <w:kern w:val="2"/>
                <w:sz w:val="18"/>
                <w:szCs w:val="18"/>
              </w:rPr>
            </w:pPr>
            <w:r w:rsidRPr="00FC6EB6">
              <w:rPr>
                <w:rFonts w:hint="eastAsia"/>
                <w:kern w:val="2"/>
                <w:sz w:val="18"/>
                <w:szCs w:val="18"/>
              </w:rPr>
              <w:t>冲减成本费用</w:t>
            </w:r>
          </w:p>
        </w:tc>
        <w:tc>
          <w:tcPr>
            <w:tcW w:w="0" w:type="auto"/>
            <w:tcBorders>
              <w:top w:val="nil"/>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FC6EB6" w:rsidRDefault="008D4B2E" w:rsidP="00FC6EB6">
            <w:pPr>
              <w:pStyle w:val="a3"/>
              <w:spacing w:before="0" w:beforeAutospacing="0" w:after="0" w:afterAutospacing="0" w:line="240" w:lineRule="exact"/>
              <w:jc w:val="center"/>
              <w:rPr>
                <w:kern w:val="2"/>
                <w:sz w:val="18"/>
                <w:szCs w:val="18"/>
              </w:rPr>
            </w:pPr>
            <w:r w:rsidRPr="00FC6EB6">
              <w:rPr>
                <w:rFonts w:hint="eastAsia"/>
                <w:kern w:val="2"/>
                <w:sz w:val="18"/>
                <w:szCs w:val="18"/>
              </w:rPr>
              <w:t>其他减少</w:t>
            </w:r>
          </w:p>
        </w:tc>
        <w:tc>
          <w:tcPr>
            <w:tcW w:w="0" w:type="auto"/>
            <w:vMerge/>
            <w:tcBorders>
              <w:top w:val="single" w:sz="8" w:space="0" w:color="auto"/>
              <w:left w:val="nil"/>
              <w:bottom w:val="single" w:sz="8" w:space="0" w:color="auto"/>
              <w:right w:val="single" w:sz="8" w:space="0" w:color="auto"/>
            </w:tcBorders>
            <w:shd w:val="clear" w:color="auto" w:fill="D3D3D3"/>
            <w:vAlign w:val="center"/>
            <w:hideMark/>
          </w:tcPr>
          <w:p w:rsidR="008D4B2E" w:rsidRPr="00FC6EB6" w:rsidRDefault="008D4B2E" w:rsidP="00FC6EB6">
            <w:pPr>
              <w:spacing w:line="240" w:lineRule="exact"/>
              <w:rPr>
                <w:rFonts w:ascii="宋体" w:eastAsia="宋体" w:hAnsi="宋体" w:cs="宋体"/>
                <w:sz w:val="18"/>
                <w:szCs w:val="18"/>
              </w:rPr>
            </w:pP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proofErr w:type="gramStart"/>
            <w:r w:rsidRPr="00FC6EB6">
              <w:rPr>
                <w:rFonts w:ascii="宋体" w:eastAsia="宋体" w:hAnsi="宋体" w:cs="宋体" w:hint="eastAsia"/>
                <w:sz w:val="18"/>
                <w:szCs w:val="18"/>
              </w:rPr>
              <w:t>产线智能</w:t>
            </w:r>
            <w:proofErr w:type="gramEnd"/>
            <w:r w:rsidRPr="00FC6EB6">
              <w:rPr>
                <w:rFonts w:ascii="宋体" w:eastAsia="宋体" w:hAnsi="宋体" w:cs="宋体" w:hint="eastAsia"/>
                <w:sz w:val="18"/>
                <w:szCs w:val="18"/>
              </w:rPr>
              <w:t>管控系统的研究</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1,530,000.00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1,020,000.00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2,550,000.00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高铁减振产品智能制造新模式应用</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480,000.00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640,000.00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1,120,000.00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工业互联网创新发展</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2,524,714.00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2,524,714.00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轮胎智能成型系统关键技术研发</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1,358,000.00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1,358,000.00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年产</w:t>
            </w:r>
            <w:r w:rsidRPr="00FC6EB6">
              <w:rPr>
                <w:rFonts w:ascii="宋体" w:eastAsia="宋体" w:hAnsi="宋体" w:cs="宋体"/>
                <w:sz w:val="18"/>
                <w:szCs w:val="18"/>
              </w:rPr>
              <w:t>3</w:t>
            </w:r>
            <w:r w:rsidRPr="00FC6EB6">
              <w:rPr>
                <w:rFonts w:ascii="宋体" w:eastAsia="宋体" w:hAnsi="宋体" w:cs="宋体" w:hint="eastAsia"/>
                <w:sz w:val="18"/>
                <w:szCs w:val="18"/>
              </w:rPr>
              <w:t>万吨高性能复合橡胶生产能力</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30,840,000.00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470,000.00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30,370,000.00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轮胎用射频识别（</w:t>
            </w:r>
            <w:r w:rsidRPr="00FC6EB6">
              <w:rPr>
                <w:rFonts w:ascii="宋体" w:eastAsia="宋体" w:hAnsi="宋体" w:cs="宋体"/>
                <w:sz w:val="18"/>
                <w:szCs w:val="18"/>
              </w:rPr>
              <w:t>RFID)</w:t>
            </w:r>
            <w:r w:rsidRPr="00FC6EB6">
              <w:rPr>
                <w:rFonts w:ascii="宋体" w:eastAsia="宋体" w:hAnsi="宋体" w:cs="宋体" w:hint="eastAsia"/>
                <w:sz w:val="18"/>
                <w:szCs w:val="18"/>
              </w:rPr>
              <w:t>电子标签性能试验方法</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690,000.00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690,000.00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市博士后创新项目专项资金</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13,031,234.50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385,000.00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12,646,234.50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proofErr w:type="gramStart"/>
            <w:r w:rsidRPr="00FC6EB6">
              <w:rPr>
                <w:rFonts w:ascii="宋体" w:eastAsia="宋体" w:hAnsi="宋体" w:cs="宋体" w:hint="eastAsia"/>
                <w:sz w:val="18"/>
                <w:szCs w:val="18"/>
              </w:rPr>
              <w:t>软控诸暨</w:t>
            </w:r>
            <w:proofErr w:type="gramEnd"/>
            <w:r w:rsidRPr="00FC6EB6">
              <w:rPr>
                <w:rFonts w:ascii="宋体" w:eastAsia="宋体" w:hAnsi="宋体" w:cs="宋体" w:hint="eastAsia"/>
                <w:sz w:val="18"/>
                <w:szCs w:val="18"/>
              </w:rPr>
              <w:t>装备产业园建设</w:t>
            </w:r>
            <w:proofErr w:type="gramStart"/>
            <w:r w:rsidRPr="00FC6EB6">
              <w:rPr>
                <w:rFonts w:ascii="宋体" w:eastAsia="宋体" w:hAnsi="宋体" w:cs="宋体" w:hint="eastAsia"/>
                <w:sz w:val="18"/>
                <w:szCs w:val="18"/>
              </w:rPr>
              <w:t>进度奖</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11,811,582.62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245,223.16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11,566,359.46</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露天矿用新型巨型子午</w:t>
            </w:r>
            <w:proofErr w:type="gramStart"/>
            <w:r w:rsidRPr="00FC6EB6">
              <w:rPr>
                <w:rFonts w:ascii="宋体" w:eastAsia="宋体" w:hAnsi="宋体" w:cs="宋体" w:hint="eastAsia"/>
                <w:sz w:val="18"/>
                <w:szCs w:val="18"/>
              </w:rPr>
              <w:t>胎</w:t>
            </w:r>
            <w:proofErr w:type="gramEnd"/>
            <w:r w:rsidRPr="00FC6EB6">
              <w:rPr>
                <w:rFonts w:ascii="宋体" w:eastAsia="宋体" w:hAnsi="宋体" w:cs="宋体" w:hint="eastAsia"/>
                <w:sz w:val="18"/>
                <w:szCs w:val="18"/>
              </w:rPr>
              <w:t>成型技术</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2,000,000.00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300,000.00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1,300,000.00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1,000,000.00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proofErr w:type="gramStart"/>
            <w:r w:rsidRPr="00FC6EB6">
              <w:rPr>
                <w:rFonts w:ascii="宋体" w:eastAsia="宋体" w:hAnsi="宋体" w:cs="宋体" w:hint="eastAsia"/>
                <w:sz w:val="18"/>
                <w:szCs w:val="18"/>
              </w:rPr>
              <w:t>全价值链产品</w:t>
            </w:r>
            <w:proofErr w:type="gramEnd"/>
            <w:r w:rsidRPr="00FC6EB6">
              <w:rPr>
                <w:rFonts w:ascii="宋体" w:eastAsia="宋体" w:hAnsi="宋体" w:cs="宋体" w:hint="eastAsia"/>
                <w:sz w:val="18"/>
                <w:szCs w:val="18"/>
              </w:rPr>
              <w:t>质量精益管</w:t>
            </w:r>
            <w:proofErr w:type="gramStart"/>
            <w:r w:rsidRPr="00FC6EB6">
              <w:rPr>
                <w:rFonts w:ascii="宋体" w:eastAsia="宋体" w:hAnsi="宋体" w:cs="宋体" w:hint="eastAsia"/>
                <w:sz w:val="18"/>
                <w:szCs w:val="18"/>
              </w:rPr>
              <w:t>控软件</w:t>
            </w:r>
            <w:proofErr w:type="gramEnd"/>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1,527,800.00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1,527,800.00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小样本异常数据智能分析控制</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720,000.00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720,000.00</w:t>
            </w:r>
          </w:p>
        </w:tc>
      </w:tr>
      <w:tr w:rsidR="008D4B2E" w:rsidTr="00152E2B">
        <w:trPr>
          <w:divId w:val="1601255595"/>
          <w:trHeight w:val="421"/>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合计</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64,265,531.12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4,207,800.00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245,223.16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2,155,000.00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FC6EB6" w:rsidRDefault="008D4B2E" w:rsidP="00FC6EB6">
            <w:pPr>
              <w:spacing w:line="240" w:lineRule="exact"/>
              <w:jc w:val="right"/>
              <w:rPr>
                <w:rFonts w:ascii="宋体" w:eastAsia="宋体" w:hAnsi="宋体" w:cs="宋体"/>
                <w:sz w:val="18"/>
                <w:szCs w:val="18"/>
              </w:rPr>
            </w:pPr>
            <w:r w:rsidRPr="00FC6EB6">
              <w:rPr>
                <w:rFonts w:ascii="宋体" w:eastAsia="宋体" w:hAnsi="宋体" w:cs="宋体"/>
                <w:sz w:val="18"/>
                <w:szCs w:val="18"/>
              </w:rPr>
              <w:t>66,073,107.96</w:t>
            </w:r>
          </w:p>
        </w:tc>
      </w:tr>
    </w:tbl>
    <w:p w:rsidR="00BA0365" w:rsidRDefault="008D4B2E">
      <w:pPr>
        <w:pStyle w:val="3"/>
        <w:spacing w:line="280" w:lineRule="exact"/>
        <w:jc w:val="left"/>
        <w:rPr>
          <w:rFonts w:ascii="宋体" w:hAnsi="宋体" w:cs="宋体"/>
          <w:b/>
          <w:bCs/>
        </w:rPr>
      </w:pPr>
      <w:bookmarkStart w:id="315" w:name="_Toc989206"/>
      <w:r>
        <w:rPr>
          <w:rFonts w:ascii="宋体" w:hAnsi="宋体" w:cs="宋体"/>
          <w:b/>
          <w:bCs/>
        </w:rPr>
        <w:t>35、股本</w:t>
      </w:r>
      <w:bookmarkEnd w:id="31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04"/>
        <w:gridCol w:w="1205"/>
        <w:gridCol w:w="1205"/>
        <w:gridCol w:w="1205"/>
        <w:gridCol w:w="1205"/>
        <w:gridCol w:w="1205"/>
        <w:gridCol w:w="1205"/>
        <w:gridCol w:w="1205"/>
      </w:tblGrid>
      <w:tr w:rsidR="00157EA0">
        <w:trPr>
          <w:trHeight w:val="240"/>
        </w:trPr>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6024"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本次变动增减（+、-）</w:t>
            </w:r>
          </w:p>
        </w:tc>
        <w:tc>
          <w:tcPr>
            <w:tcW w:w="120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发行新股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送股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公积金转股</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小计</w:t>
            </w:r>
          </w:p>
        </w:tc>
        <w:tc>
          <w:tcPr>
            <w:tcW w:w="120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120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股份总数</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969,506,674.00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42,599,830.00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42,589,830.00</w:t>
            </w:r>
          </w:p>
        </w:tc>
        <w:tc>
          <w:tcPr>
            <w:tcW w:w="120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1,012,096,504.00</w:t>
            </w:r>
          </w:p>
        </w:tc>
      </w:tr>
    </w:tbl>
    <w:p w:rsidR="00BA0365" w:rsidRDefault="008D4B2E">
      <w:pPr>
        <w:pStyle w:val="3"/>
        <w:spacing w:line="280" w:lineRule="exact"/>
        <w:jc w:val="left"/>
        <w:rPr>
          <w:rFonts w:ascii="宋体" w:hAnsi="宋体" w:cs="宋体"/>
          <w:b/>
          <w:bCs/>
        </w:rPr>
      </w:pPr>
      <w:bookmarkStart w:id="316" w:name="_Toc989207"/>
      <w:r>
        <w:rPr>
          <w:rFonts w:ascii="宋体" w:hAnsi="宋体" w:cs="宋体"/>
          <w:b/>
          <w:bCs/>
        </w:rPr>
        <w:t>36、资本公积</w:t>
      </w:r>
      <w:bookmarkEnd w:id="316"/>
    </w:p>
    <w:p w:rsidR="00AA53DA" w:rsidRPr="00AA53DA" w:rsidRDefault="00AA53DA" w:rsidP="00AA53DA"/>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资本溢价（股本溢价）</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1,919,571,366.55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226,761,023.34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1,711,726.28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2,144,620,663.61</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其他资本公积</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104,060,802.89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110,357,659.39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88,129,494.32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126,288,967.96</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2,023,632,169.44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337,118,682.73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89,841,220.60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2,270,909,631.57</w:t>
            </w:r>
          </w:p>
        </w:tc>
      </w:tr>
    </w:tbl>
    <w:p w:rsidR="00BA0365" w:rsidRDefault="008D4B2E" w:rsidP="00152E2B">
      <w:pPr>
        <w:ind w:firstLineChars="200" w:firstLine="360"/>
        <w:rPr>
          <w:rFonts w:ascii="宋体" w:eastAsia="宋体" w:hAnsi="宋体" w:cs="宋体"/>
          <w:sz w:val="18"/>
          <w:szCs w:val="18"/>
        </w:rPr>
      </w:pPr>
      <w:r>
        <w:rPr>
          <w:rFonts w:ascii="宋体" w:eastAsia="宋体" w:hAnsi="宋体" w:cs="宋体"/>
          <w:sz w:val="18"/>
          <w:szCs w:val="18"/>
        </w:rPr>
        <w:t>其他说明，包括本期增减变动情况、变动原因说明：</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①公司于</w:t>
      </w:r>
      <w:r w:rsidRPr="00FC6EB6">
        <w:rPr>
          <w:rFonts w:ascii="宋体" w:eastAsia="宋体" w:hAnsi="宋体" w:cs="宋体"/>
          <w:sz w:val="18"/>
          <w:szCs w:val="18"/>
        </w:rPr>
        <w:t>2019</w:t>
      </w:r>
      <w:r w:rsidRPr="00FC6EB6">
        <w:rPr>
          <w:rFonts w:ascii="宋体" w:eastAsia="宋体" w:hAnsi="宋体" w:cs="宋体" w:hint="eastAsia"/>
          <w:sz w:val="18"/>
          <w:szCs w:val="18"/>
        </w:rPr>
        <w:t>年</w:t>
      </w:r>
      <w:r w:rsidRPr="00FC6EB6">
        <w:rPr>
          <w:rFonts w:ascii="宋体" w:eastAsia="宋体" w:hAnsi="宋体" w:cs="宋体"/>
          <w:sz w:val="18"/>
          <w:szCs w:val="18"/>
        </w:rPr>
        <w:t>12</w:t>
      </w:r>
      <w:r w:rsidRPr="00FC6EB6">
        <w:rPr>
          <w:rFonts w:ascii="宋体" w:eastAsia="宋体" w:hAnsi="宋体" w:cs="宋体" w:hint="eastAsia"/>
          <w:sz w:val="18"/>
          <w:szCs w:val="18"/>
        </w:rPr>
        <w:t>月</w:t>
      </w:r>
      <w:r w:rsidRPr="00FC6EB6">
        <w:rPr>
          <w:rFonts w:ascii="宋体" w:eastAsia="宋体" w:hAnsi="宋体" w:cs="宋体"/>
          <w:sz w:val="18"/>
          <w:szCs w:val="18"/>
        </w:rPr>
        <w:t>29</w:t>
      </w:r>
      <w:r w:rsidRPr="00FC6EB6">
        <w:rPr>
          <w:rFonts w:ascii="宋体" w:eastAsia="宋体" w:hAnsi="宋体" w:cs="宋体" w:hint="eastAsia"/>
          <w:sz w:val="18"/>
          <w:szCs w:val="18"/>
        </w:rPr>
        <w:t>日召开第七届董事会第四次会议审议通过了《关于</w:t>
      </w:r>
      <w:r w:rsidRPr="00FC6EB6">
        <w:rPr>
          <w:rFonts w:ascii="宋体" w:eastAsia="宋体" w:hAnsi="宋体" w:cs="宋体"/>
          <w:sz w:val="18"/>
          <w:szCs w:val="18"/>
        </w:rPr>
        <w:t>〈2019</w:t>
      </w:r>
      <w:r w:rsidRPr="00FC6EB6">
        <w:rPr>
          <w:rFonts w:ascii="宋体" w:eastAsia="宋体" w:hAnsi="宋体" w:cs="宋体" w:hint="eastAsia"/>
          <w:sz w:val="18"/>
          <w:szCs w:val="18"/>
        </w:rPr>
        <w:t>年员工持股计划（草案）</w:t>
      </w:r>
      <w:r w:rsidRPr="00FC6EB6">
        <w:rPr>
          <w:rFonts w:ascii="宋体" w:eastAsia="宋体" w:hAnsi="宋体" w:cs="宋体"/>
          <w:sz w:val="18"/>
          <w:szCs w:val="18"/>
        </w:rPr>
        <w:t>〉</w:t>
      </w:r>
      <w:r w:rsidRPr="00FC6EB6">
        <w:rPr>
          <w:rFonts w:ascii="宋体" w:eastAsia="宋体" w:hAnsi="宋体" w:cs="宋体" w:hint="eastAsia"/>
          <w:sz w:val="18"/>
          <w:szCs w:val="18"/>
        </w:rPr>
        <w:t>及其摘要的议案》、《关于制定</w:t>
      </w:r>
      <w:r w:rsidRPr="00FC6EB6">
        <w:rPr>
          <w:rFonts w:ascii="宋体" w:eastAsia="宋体" w:hAnsi="宋体" w:cs="宋体"/>
          <w:sz w:val="18"/>
          <w:szCs w:val="18"/>
        </w:rPr>
        <w:t>〈</w:t>
      </w:r>
      <w:r w:rsidRPr="00FC6EB6">
        <w:rPr>
          <w:rFonts w:ascii="宋体" w:eastAsia="宋体" w:hAnsi="宋体" w:cs="宋体" w:hint="eastAsia"/>
          <w:sz w:val="18"/>
          <w:szCs w:val="18"/>
        </w:rPr>
        <w:t>员工持股计划管理办法</w:t>
      </w:r>
      <w:r w:rsidRPr="00FC6EB6">
        <w:rPr>
          <w:rFonts w:ascii="宋体" w:eastAsia="宋体" w:hAnsi="宋体" w:cs="宋体"/>
          <w:sz w:val="18"/>
          <w:szCs w:val="18"/>
        </w:rPr>
        <w:t>〉</w:t>
      </w:r>
      <w:r w:rsidRPr="00FC6EB6">
        <w:rPr>
          <w:rFonts w:ascii="宋体" w:eastAsia="宋体" w:hAnsi="宋体" w:cs="宋体" w:hint="eastAsia"/>
          <w:sz w:val="18"/>
          <w:szCs w:val="18"/>
        </w:rPr>
        <w:t>的议案》，确定</w:t>
      </w:r>
      <w:proofErr w:type="gramStart"/>
      <w:r w:rsidRPr="00FC6EB6">
        <w:rPr>
          <w:rFonts w:ascii="宋体" w:eastAsia="宋体" w:hAnsi="宋体" w:cs="宋体" w:hint="eastAsia"/>
          <w:sz w:val="18"/>
          <w:szCs w:val="18"/>
        </w:rPr>
        <w:t>本期员工</w:t>
      </w:r>
      <w:proofErr w:type="gramEnd"/>
      <w:r w:rsidRPr="00FC6EB6">
        <w:rPr>
          <w:rFonts w:ascii="宋体" w:eastAsia="宋体" w:hAnsi="宋体" w:cs="宋体" w:hint="eastAsia"/>
          <w:sz w:val="18"/>
          <w:szCs w:val="18"/>
        </w:rPr>
        <w:t>持股计划的参加对象为经董事会认定对公司发展有贡献的董事、监事、高级管理人员、公司中高层管理人员、公司核心技术及其他员工，本次员工持股计划参加对象总人数为不超过</w:t>
      </w:r>
      <w:r w:rsidRPr="00FC6EB6">
        <w:rPr>
          <w:rFonts w:ascii="宋体" w:eastAsia="宋体" w:hAnsi="宋体" w:cs="宋体"/>
          <w:sz w:val="18"/>
          <w:szCs w:val="18"/>
        </w:rPr>
        <w:t>98</w:t>
      </w:r>
      <w:r w:rsidRPr="00FC6EB6">
        <w:rPr>
          <w:rFonts w:ascii="宋体" w:eastAsia="宋体" w:hAnsi="宋体" w:cs="宋体" w:hint="eastAsia"/>
          <w:sz w:val="18"/>
          <w:szCs w:val="18"/>
        </w:rPr>
        <w:t>人（含），认购</w:t>
      </w:r>
      <w:r w:rsidRPr="00FC6EB6">
        <w:rPr>
          <w:rFonts w:ascii="宋体" w:eastAsia="宋体" w:hAnsi="宋体" w:cs="宋体"/>
          <w:sz w:val="18"/>
          <w:szCs w:val="18"/>
        </w:rPr>
        <w:t>27,360,900</w:t>
      </w:r>
      <w:r w:rsidRPr="00FC6EB6">
        <w:rPr>
          <w:rFonts w:ascii="宋体" w:eastAsia="宋体" w:hAnsi="宋体" w:cs="宋体" w:hint="eastAsia"/>
          <w:sz w:val="18"/>
          <w:szCs w:val="18"/>
        </w:rPr>
        <w:t>股限制性股票，股票面值</w:t>
      </w:r>
      <w:r w:rsidRPr="00FC6EB6">
        <w:rPr>
          <w:rFonts w:ascii="宋体" w:eastAsia="宋体" w:hAnsi="宋体" w:cs="宋体"/>
          <w:sz w:val="18"/>
          <w:szCs w:val="18"/>
        </w:rPr>
        <w:t>1</w:t>
      </w:r>
      <w:r w:rsidRPr="00FC6EB6">
        <w:rPr>
          <w:rFonts w:ascii="宋体" w:eastAsia="宋体" w:hAnsi="宋体" w:cs="宋体" w:hint="eastAsia"/>
          <w:sz w:val="18"/>
          <w:szCs w:val="18"/>
        </w:rPr>
        <w:t>元，认购价格为</w:t>
      </w:r>
      <w:r w:rsidRPr="00FC6EB6">
        <w:rPr>
          <w:rFonts w:ascii="宋体" w:eastAsia="宋体" w:hAnsi="宋体" w:cs="宋体"/>
          <w:sz w:val="18"/>
          <w:szCs w:val="18"/>
        </w:rPr>
        <w:t>2.13</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w:t>
      </w:r>
    </w:p>
    <w:p w:rsidR="008D4B2E" w:rsidRPr="00FC6EB6" w:rsidRDefault="008D4B2E" w:rsidP="00AA53DA">
      <w:pPr>
        <w:divId w:val="456333119"/>
        <w:rPr>
          <w:rFonts w:ascii="宋体" w:eastAsia="宋体" w:hAnsi="宋体" w:cs="宋体"/>
          <w:sz w:val="18"/>
          <w:szCs w:val="18"/>
        </w:rPr>
      </w:pPr>
      <w:r w:rsidRPr="00FC6EB6">
        <w:rPr>
          <w:rFonts w:ascii="宋体" w:eastAsia="宋体" w:hAnsi="宋体" w:cs="宋体" w:hint="eastAsia"/>
          <w:sz w:val="18"/>
          <w:szCs w:val="18"/>
        </w:rPr>
        <w:t>《关于</w:t>
      </w:r>
      <w:r w:rsidRPr="00FC6EB6">
        <w:rPr>
          <w:rFonts w:ascii="宋体" w:eastAsia="宋体" w:hAnsi="宋体" w:cs="宋体"/>
          <w:sz w:val="18"/>
          <w:szCs w:val="18"/>
        </w:rPr>
        <w:t>〈2019</w:t>
      </w:r>
      <w:r w:rsidRPr="00FC6EB6">
        <w:rPr>
          <w:rFonts w:ascii="宋体" w:eastAsia="宋体" w:hAnsi="宋体" w:cs="宋体" w:hint="eastAsia"/>
          <w:sz w:val="18"/>
          <w:szCs w:val="18"/>
        </w:rPr>
        <w:t>年员工持股计划（草案）</w:t>
      </w:r>
      <w:r w:rsidRPr="00FC6EB6">
        <w:rPr>
          <w:rFonts w:ascii="宋体" w:eastAsia="宋体" w:hAnsi="宋体" w:cs="宋体"/>
          <w:sz w:val="18"/>
          <w:szCs w:val="18"/>
        </w:rPr>
        <w:t>〉</w:t>
      </w:r>
      <w:r w:rsidRPr="00FC6EB6">
        <w:rPr>
          <w:rFonts w:ascii="宋体" w:eastAsia="宋体" w:hAnsi="宋体" w:cs="宋体" w:hint="eastAsia"/>
          <w:sz w:val="18"/>
          <w:szCs w:val="18"/>
        </w:rPr>
        <w:t>修订》说明，公司于</w:t>
      </w:r>
      <w:r w:rsidRPr="00FC6EB6">
        <w:rPr>
          <w:rFonts w:ascii="宋体" w:eastAsia="宋体" w:hAnsi="宋体" w:cs="宋体"/>
          <w:sz w:val="18"/>
          <w:szCs w:val="18"/>
        </w:rPr>
        <w:t>2019</w:t>
      </w:r>
      <w:r w:rsidRPr="00FC6EB6">
        <w:rPr>
          <w:rFonts w:ascii="宋体" w:eastAsia="宋体" w:hAnsi="宋体" w:cs="宋体" w:hint="eastAsia"/>
          <w:sz w:val="18"/>
          <w:szCs w:val="18"/>
        </w:rPr>
        <w:t>年</w:t>
      </w:r>
      <w:r w:rsidRPr="00FC6EB6">
        <w:rPr>
          <w:rFonts w:ascii="宋体" w:eastAsia="宋体" w:hAnsi="宋体" w:cs="宋体"/>
          <w:sz w:val="18"/>
          <w:szCs w:val="18"/>
        </w:rPr>
        <w:t>8</w:t>
      </w:r>
      <w:r w:rsidRPr="00FC6EB6">
        <w:rPr>
          <w:rFonts w:ascii="宋体" w:eastAsia="宋体" w:hAnsi="宋体" w:cs="宋体" w:hint="eastAsia"/>
          <w:sz w:val="18"/>
          <w:szCs w:val="18"/>
        </w:rPr>
        <w:t>月</w:t>
      </w:r>
      <w:r w:rsidRPr="00FC6EB6">
        <w:rPr>
          <w:rFonts w:ascii="宋体" w:eastAsia="宋体" w:hAnsi="宋体" w:cs="宋体"/>
          <w:sz w:val="18"/>
          <w:szCs w:val="18"/>
        </w:rPr>
        <w:t>30</w:t>
      </w:r>
      <w:r w:rsidRPr="00FC6EB6">
        <w:rPr>
          <w:rFonts w:ascii="宋体" w:eastAsia="宋体" w:hAnsi="宋体" w:cs="宋体" w:hint="eastAsia"/>
          <w:sz w:val="18"/>
          <w:szCs w:val="18"/>
        </w:rPr>
        <w:t>日首次以集中竞价交易方式实施了回购股份，截至</w:t>
      </w:r>
      <w:r w:rsidRPr="00FC6EB6">
        <w:rPr>
          <w:rFonts w:ascii="宋体" w:eastAsia="宋体" w:hAnsi="宋体" w:cs="宋体"/>
          <w:sz w:val="18"/>
          <w:szCs w:val="18"/>
        </w:rPr>
        <w:t>2019</w:t>
      </w:r>
      <w:r w:rsidRPr="00FC6EB6">
        <w:rPr>
          <w:rFonts w:ascii="宋体" w:eastAsia="宋体" w:hAnsi="宋体" w:cs="宋体" w:hint="eastAsia"/>
          <w:sz w:val="18"/>
          <w:szCs w:val="18"/>
        </w:rPr>
        <w:t>年</w:t>
      </w:r>
      <w:r w:rsidRPr="00FC6EB6">
        <w:rPr>
          <w:rFonts w:ascii="宋体" w:eastAsia="宋体" w:hAnsi="宋体" w:cs="宋体"/>
          <w:sz w:val="18"/>
          <w:szCs w:val="18"/>
        </w:rPr>
        <w:t>11</w:t>
      </w:r>
      <w:r w:rsidRPr="00FC6EB6">
        <w:rPr>
          <w:rFonts w:ascii="宋体" w:eastAsia="宋体" w:hAnsi="宋体" w:cs="宋体" w:hint="eastAsia"/>
          <w:sz w:val="18"/>
          <w:szCs w:val="18"/>
        </w:rPr>
        <w:t>月</w:t>
      </w:r>
      <w:r w:rsidRPr="00FC6EB6">
        <w:rPr>
          <w:rFonts w:ascii="宋体" w:eastAsia="宋体" w:hAnsi="宋体" w:cs="宋体"/>
          <w:sz w:val="18"/>
          <w:szCs w:val="18"/>
        </w:rPr>
        <w:t>1</w:t>
      </w:r>
      <w:r w:rsidRPr="00FC6EB6">
        <w:rPr>
          <w:rFonts w:ascii="宋体" w:eastAsia="宋体" w:hAnsi="宋体" w:cs="宋体" w:hint="eastAsia"/>
          <w:sz w:val="18"/>
          <w:szCs w:val="18"/>
        </w:rPr>
        <w:t>日，公司通过股份回购专用证券账户以集中竞价方式回购公司股份</w:t>
      </w:r>
      <w:r w:rsidRPr="00FC6EB6">
        <w:rPr>
          <w:rFonts w:ascii="宋体" w:eastAsia="宋体" w:hAnsi="宋体" w:cs="宋体"/>
          <w:sz w:val="18"/>
          <w:szCs w:val="18"/>
        </w:rPr>
        <w:t>27,360,900</w:t>
      </w:r>
      <w:r w:rsidRPr="00FC6EB6">
        <w:rPr>
          <w:rFonts w:ascii="宋体" w:eastAsia="宋体" w:hAnsi="宋体" w:cs="宋体" w:hint="eastAsia"/>
          <w:sz w:val="18"/>
          <w:szCs w:val="18"/>
        </w:rPr>
        <w:t>股，占公司目前总股本的</w:t>
      </w:r>
      <w:r w:rsidRPr="00FC6EB6">
        <w:rPr>
          <w:rFonts w:ascii="宋体" w:eastAsia="宋体" w:hAnsi="宋体" w:cs="宋体"/>
          <w:sz w:val="18"/>
          <w:szCs w:val="18"/>
        </w:rPr>
        <w:t>2.93%</w:t>
      </w:r>
      <w:r w:rsidRPr="00FC6EB6">
        <w:rPr>
          <w:rFonts w:ascii="宋体" w:eastAsia="宋体" w:hAnsi="宋体" w:cs="宋体" w:hint="eastAsia"/>
          <w:sz w:val="18"/>
          <w:szCs w:val="18"/>
        </w:rPr>
        <w:t>，最高成交价为</w:t>
      </w:r>
      <w:r w:rsidRPr="00FC6EB6">
        <w:rPr>
          <w:rFonts w:ascii="宋体" w:eastAsia="宋体" w:hAnsi="宋体" w:cs="宋体"/>
          <w:sz w:val="18"/>
          <w:szCs w:val="18"/>
        </w:rPr>
        <w:t>6.60</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股，最低成交价为</w:t>
      </w:r>
      <w:r w:rsidRPr="00FC6EB6">
        <w:rPr>
          <w:rFonts w:ascii="宋体" w:eastAsia="宋体" w:hAnsi="宋体" w:cs="宋体"/>
          <w:sz w:val="18"/>
          <w:szCs w:val="18"/>
        </w:rPr>
        <w:t>4.19</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股。合计成交总金额为</w:t>
      </w:r>
      <w:r w:rsidRPr="00FC6EB6">
        <w:rPr>
          <w:rFonts w:ascii="宋体" w:eastAsia="宋体" w:hAnsi="宋体" w:cs="宋体"/>
          <w:sz w:val="18"/>
          <w:szCs w:val="18"/>
        </w:rPr>
        <w:t>142,908,415.75</w:t>
      </w:r>
      <w:r w:rsidRPr="00FC6EB6">
        <w:rPr>
          <w:rFonts w:ascii="宋体" w:eastAsia="宋体" w:hAnsi="宋体" w:cs="宋体" w:hint="eastAsia"/>
          <w:sz w:val="18"/>
          <w:szCs w:val="18"/>
        </w:rPr>
        <w:t>元（</w:t>
      </w:r>
      <w:proofErr w:type="gramStart"/>
      <w:r w:rsidRPr="00FC6EB6">
        <w:rPr>
          <w:rFonts w:ascii="宋体" w:eastAsia="宋体" w:hAnsi="宋体" w:cs="宋体" w:hint="eastAsia"/>
          <w:sz w:val="18"/>
          <w:szCs w:val="18"/>
        </w:rPr>
        <w:t>含交易</w:t>
      </w:r>
      <w:proofErr w:type="gramEnd"/>
      <w:r w:rsidRPr="00FC6EB6">
        <w:rPr>
          <w:rFonts w:ascii="宋体" w:eastAsia="宋体" w:hAnsi="宋体" w:cs="宋体" w:hint="eastAsia"/>
          <w:sz w:val="18"/>
          <w:szCs w:val="18"/>
        </w:rPr>
        <w:t>费用）。</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本次员工持股计划参加对象总人数为不超过</w:t>
      </w:r>
      <w:r w:rsidRPr="00FC6EB6">
        <w:rPr>
          <w:rFonts w:ascii="宋体" w:eastAsia="宋体" w:hAnsi="宋体" w:cs="宋体"/>
          <w:sz w:val="18"/>
          <w:szCs w:val="18"/>
        </w:rPr>
        <w:t>98</w:t>
      </w:r>
      <w:r w:rsidRPr="00FC6EB6">
        <w:rPr>
          <w:rFonts w:ascii="宋体" w:eastAsia="宋体" w:hAnsi="宋体" w:cs="宋体" w:hint="eastAsia"/>
          <w:sz w:val="18"/>
          <w:szCs w:val="18"/>
        </w:rPr>
        <w:t>人（含），认购</w:t>
      </w:r>
      <w:r w:rsidRPr="00FC6EB6">
        <w:rPr>
          <w:rFonts w:ascii="宋体" w:eastAsia="宋体" w:hAnsi="宋体" w:cs="宋体"/>
          <w:sz w:val="18"/>
          <w:szCs w:val="18"/>
        </w:rPr>
        <w:t>27,360,900</w:t>
      </w:r>
      <w:r w:rsidRPr="00FC6EB6">
        <w:rPr>
          <w:rFonts w:ascii="宋体" w:eastAsia="宋体" w:hAnsi="宋体" w:cs="宋体" w:hint="eastAsia"/>
          <w:sz w:val="18"/>
          <w:szCs w:val="18"/>
        </w:rPr>
        <w:t>股限制性股票，股票面值</w:t>
      </w:r>
      <w:r w:rsidRPr="00FC6EB6">
        <w:rPr>
          <w:rFonts w:ascii="宋体" w:eastAsia="宋体" w:hAnsi="宋体" w:cs="宋体"/>
          <w:sz w:val="18"/>
          <w:szCs w:val="18"/>
        </w:rPr>
        <w:t>1</w:t>
      </w:r>
      <w:r w:rsidRPr="00FC6EB6">
        <w:rPr>
          <w:rFonts w:ascii="宋体" w:eastAsia="宋体" w:hAnsi="宋体" w:cs="宋体" w:hint="eastAsia"/>
          <w:sz w:val="18"/>
          <w:szCs w:val="18"/>
        </w:rPr>
        <w:t>元，认购价格为</w:t>
      </w:r>
      <w:r w:rsidRPr="00FC6EB6">
        <w:rPr>
          <w:rFonts w:ascii="宋体" w:eastAsia="宋体" w:hAnsi="宋体" w:cs="宋体"/>
          <w:sz w:val="18"/>
          <w:szCs w:val="18"/>
        </w:rPr>
        <w:t>2.13</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股，实际认购资金总额为</w:t>
      </w:r>
      <w:r w:rsidRPr="00FC6EB6">
        <w:rPr>
          <w:rFonts w:ascii="宋体" w:eastAsia="宋体" w:hAnsi="宋体" w:cs="宋体"/>
          <w:sz w:val="18"/>
          <w:szCs w:val="18"/>
        </w:rPr>
        <w:t>58,278,717</w:t>
      </w:r>
      <w:r w:rsidRPr="00FC6EB6">
        <w:rPr>
          <w:rFonts w:ascii="宋体" w:eastAsia="宋体" w:hAnsi="宋体" w:cs="宋体" w:hint="eastAsia"/>
          <w:sz w:val="18"/>
          <w:szCs w:val="18"/>
        </w:rPr>
        <w:t>元，于</w:t>
      </w:r>
      <w:r w:rsidRPr="00FC6EB6">
        <w:rPr>
          <w:rFonts w:ascii="宋体" w:eastAsia="宋体" w:hAnsi="宋体" w:cs="宋体"/>
          <w:sz w:val="18"/>
          <w:szCs w:val="18"/>
        </w:rPr>
        <w:t>2020</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15</w:t>
      </w:r>
      <w:r w:rsidRPr="00FC6EB6">
        <w:rPr>
          <w:rFonts w:ascii="宋体" w:eastAsia="宋体" w:hAnsi="宋体" w:cs="宋体" w:hint="eastAsia"/>
          <w:sz w:val="18"/>
          <w:szCs w:val="18"/>
        </w:rPr>
        <w:t>日收到。公司回购成交金额与实际收到员工的认购资金总额的差额</w:t>
      </w:r>
      <w:r w:rsidRPr="00FC6EB6">
        <w:rPr>
          <w:rFonts w:ascii="宋体" w:eastAsia="宋体" w:hAnsi="宋体" w:cs="宋体"/>
          <w:sz w:val="18"/>
          <w:szCs w:val="18"/>
        </w:rPr>
        <w:t>84,629,698.75</w:t>
      </w:r>
      <w:r w:rsidRPr="00FC6EB6">
        <w:rPr>
          <w:rFonts w:ascii="宋体" w:eastAsia="宋体" w:hAnsi="宋体" w:cs="宋体" w:hint="eastAsia"/>
          <w:sz w:val="18"/>
          <w:szCs w:val="18"/>
        </w:rPr>
        <w:t>元。</w:t>
      </w:r>
    </w:p>
    <w:p w:rsidR="008D4B2E" w:rsidRPr="00FC6EB6" w:rsidRDefault="008D4B2E" w:rsidP="00AA53DA">
      <w:pPr>
        <w:divId w:val="456333119"/>
        <w:rPr>
          <w:rFonts w:ascii="宋体" w:eastAsia="宋体" w:hAnsi="宋体" w:cs="宋体"/>
          <w:sz w:val="18"/>
          <w:szCs w:val="18"/>
        </w:rPr>
      </w:pPr>
      <w:r w:rsidRPr="00FC6EB6">
        <w:rPr>
          <w:rFonts w:ascii="宋体" w:eastAsia="宋体" w:hAnsi="宋体" w:cs="宋体" w:hint="eastAsia"/>
          <w:sz w:val="18"/>
          <w:szCs w:val="18"/>
        </w:rPr>
        <w:t>前期第一期、第二期和第三期员工持股计划业绩达到限制性股票解锁条件，减少资本溢价（股本溢价）</w:t>
      </w:r>
      <w:r w:rsidRPr="00FC6EB6">
        <w:rPr>
          <w:rFonts w:ascii="宋体" w:eastAsia="宋体" w:hAnsi="宋体" w:cs="宋体"/>
          <w:sz w:val="18"/>
          <w:szCs w:val="18"/>
        </w:rPr>
        <w:t>84,629,698.75</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2020</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日，公司第一期员工持股计划已完成股票</w:t>
      </w:r>
      <w:proofErr w:type="gramStart"/>
      <w:r w:rsidRPr="00FC6EB6">
        <w:rPr>
          <w:rFonts w:ascii="宋体" w:eastAsia="宋体" w:hAnsi="宋体" w:cs="宋体" w:hint="eastAsia"/>
          <w:sz w:val="18"/>
          <w:szCs w:val="18"/>
        </w:rPr>
        <w:t>非交易</w:t>
      </w:r>
      <w:proofErr w:type="gramEnd"/>
      <w:r w:rsidRPr="00FC6EB6">
        <w:rPr>
          <w:rFonts w:ascii="宋体" w:eastAsia="宋体" w:hAnsi="宋体" w:cs="宋体" w:hint="eastAsia"/>
          <w:sz w:val="18"/>
          <w:szCs w:val="18"/>
        </w:rPr>
        <w:t>过户。根据《</w:t>
      </w:r>
      <w:r w:rsidRPr="00FC6EB6">
        <w:rPr>
          <w:rFonts w:ascii="宋体" w:eastAsia="宋体" w:hAnsi="宋体" w:cs="宋体"/>
          <w:sz w:val="18"/>
          <w:szCs w:val="18"/>
        </w:rPr>
        <w:t>2019</w:t>
      </w:r>
      <w:r w:rsidRPr="00FC6EB6">
        <w:rPr>
          <w:rFonts w:ascii="宋体" w:eastAsia="宋体" w:hAnsi="宋体" w:cs="宋体" w:hint="eastAsia"/>
          <w:sz w:val="18"/>
          <w:szCs w:val="18"/>
        </w:rPr>
        <w:t>年员工持股计划（草案）》该部分股票将按照规定予以锁定，自公司公告最后一笔标的股票过户至</w:t>
      </w:r>
      <w:proofErr w:type="gramStart"/>
      <w:r w:rsidRPr="00FC6EB6">
        <w:rPr>
          <w:rFonts w:ascii="宋体" w:eastAsia="宋体" w:hAnsi="宋体" w:cs="宋体" w:hint="eastAsia"/>
          <w:sz w:val="18"/>
          <w:szCs w:val="18"/>
        </w:rPr>
        <w:t>本员工</w:t>
      </w:r>
      <w:proofErr w:type="gramEnd"/>
      <w:r w:rsidRPr="00FC6EB6">
        <w:rPr>
          <w:rFonts w:ascii="宋体" w:eastAsia="宋体" w:hAnsi="宋体" w:cs="宋体" w:hint="eastAsia"/>
          <w:sz w:val="18"/>
          <w:szCs w:val="18"/>
        </w:rPr>
        <w:t>持股计划名下之日即</w:t>
      </w:r>
      <w:r w:rsidRPr="00FC6EB6">
        <w:rPr>
          <w:rFonts w:ascii="宋体" w:eastAsia="宋体" w:hAnsi="宋体" w:cs="宋体"/>
          <w:sz w:val="18"/>
          <w:szCs w:val="18"/>
        </w:rPr>
        <w:t>2020</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日起算，满</w:t>
      </w:r>
      <w:r w:rsidRPr="00FC6EB6">
        <w:rPr>
          <w:rFonts w:ascii="宋体" w:eastAsia="宋体" w:hAnsi="宋体" w:cs="宋体"/>
          <w:sz w:val="18"/>
          <w:szCs w:val="18"/>
        </w:rPr>
        <w:t>12</w:t>
      </w:r>
      <w:r w:rsidRPr="00FC6EB6">
        <w:rPr>
          <w:rFonts w:ascii="宋体" w:eastAsia="宋体" w:hAnsi="宋体" w:cs="宋体" w:hint="eastAsia"/>
          <w:sz w:val="18"/>
          <w:szCs w:val="18"/>
        </w:rPr>
        <w:t>个月、</w:t>
      </w:r>
      <w:r w:rsidRPr="00FC6EB6">
        <w:rPr>
          <w:rFonts w:ascii="宋体" w:eastAsia="宋体" w:hAnsi="宋体" w:cs="宋体"/>
          <w:sz w:val="18"/>
          <w:szCs w:val="18"/>
        </w:rPr>
        <w:t>24</w:t>
      </w:r>
      <w:r w:rsidRPr="00FC6EB6">
        <w:rPr>
          <w:rFonts w:ascii="宋体" w:eastAsia="宋体" w:hAnsi="宋体" w:cs="宋体" w:hint="eastAsia"/>
          <w:sz w:val="18"/>
          <w:szCs w:val="18"/>
        </w:rPr>
        <w:t>个月、</w:t>
      </w:r>
      <w:r w:rsidRPr="00FC6EB6">
        <w:rPr>
          <w:rFonts w:ascii="宋体" w:eastAsia="宋体" w:hAnsi="宋体" w:cs="宋体"/>
          <w:sz w:val="18"/>
          <w:szCs w:val="18"/>
        </w:rPr>
        <w:t>36</w:t>
      </w:r>
      <w:r w:rsidRPr="00FC6EB6">
        <w:rPr>
          <w:rFonts w:ascii="宋体" w:eastAsia="宋体" w:hAnsi="宋体" w:cs="宋体" w:hint="eastAsia"/>
          <w:sz w:val="18"/>
          <w:szCs w:val="18"/>
        </w:rPr>
        <w:t>个月，根据公司预测业绩设定分别解锁本次员工持股计划总数的</w:t>
      </w:r>
      <w:r w:rsidRPr="00FC6EB6">
        <w:rPr>
          <w:rFonts w:ascii="宋体" w:eastAsia="宋体" w:hAnsi="宋体" w:cs="宋体"/>
          <w:sz w:val="18"/>
          <w:szCs w:val="18"/>
        </w:rPr>
        <w:t>40%</w:t>
      </w:r>
      <w:r w:rsidRPr="00FC6EB6">
        <w:rPr>
          <w:rFonts w:ascii="宋体" w:eastAsia="宋体" w:hAnsi="宋体" w:cs="宋体" w:hint="eastAsia"/>
          <w:sz w:val="18"/>
          <w:szCs w:val="18"/>
        </w:rPr>
        <w:t>、</w:t>
      </w:r>
      <w:r w:rsidRPr="00FC6EB6">
        <w:rPr>
          <w:rFonts w:ascii="宋体" w:eastAsia="宋体" w:hAnsi="宋体" w:cs="宋体"/>
          <w:sz w:val="18"/>
          <w:szCs w:val="18"/>
        </w:rPr>
        <w:t>30%</w:t>
      </w:r>
      <w:r w:rsidRPr="00FC6EB6">
        <w:rPr>
          <w:rFonts w:ascii="宋体" w:eastAsia="宋体" w:hAnsi="宋体" w:cs="宋体" w:hint="eastAsia"/>
          <w:sz w:val="18"/>
          <w:szCs w:val="18"/>
        </w:rPr>
        <w:t>、</w:t>
      </w:r>
      <w:r w:rsidRPr="00FC6EB6">
        <w:rPr>
          <w:rFonts w:ascii="宋体" w:eastAsia="宋体" w:hAnsi="宋体" w:cs="宋体"/>
          <w:sz w:val="18"/>
          <w:szCs w:val="18"/>
        </w:rPr>
        <w:t>30%</w:t>
      </w:r>
      <w:r w:rsidRPr="00FC6EB6">
        <w:rPr>
          <w:rFonts w:ascii="宋体" w:eastAsia="宋体" w:hAnsi="宋体" w:cs="宋体" w:hint="eastAsia"/>
          <w:sz w:val="18"/>
          <w:szCs w:val="18"/>
        </w:rPr>
        <w:t>，锁定期最长</w:t>
      </w:r>
      <w:r w:rsidRPr="00FC6EB6">
        <w:rPr>
          <w:rFonts w:ascii="宋体" w:eastAsia="宋体" w:hAnsi="宋体" w:cs="宋体"/>
          <w:sz w:val="18"/>
          <w:szCs w:val="18"/>
        </w:rPr>
        <w:t>36</w:t>
      </w:r>
      <w:r w:rsidRPr="00FC6EB6">
        <w:rPr>
          <w:rFonts w:ascii="宋体" w:eastAsia="宋体" w:hAnsi="宋体" w:cs="宋体" w:hint="eastAsia"/>
          <w:sz w:val="18"/>
          <w:szCs w:val="18"/>
        </w:rPr>
        <w:t>个月。</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2021</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日，公司的员工持股计划第一个锁定期届满，由其他资本公积转入资本溢价（股本溢价）</w:t>
      </w:r>
      <w:r w:rsidRPr="00FC6EB6">
        <w:rPr>
          <w:rFonts w:ascii="宋体" w:eastAsia="宋体" w:hAnsi="宋体" w:cs="宋体"/>
          <w:sz w:val="18"/>
          <w:szCs w:val="18"/>
        </w:rPr>
        <w:t>23,092,599.60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2022</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日，公司的员工持股计划第二个锁定期届满，由其他资本公积转入资本溢价（股本溢价）</w:t>
      </w:r>
      <w:r w:rsidRPr="00FC6EB6">
        <w:rPr>
          <w:rFonts w:ascii="宋体" w:eastAsia="宋体" w:hAnsi="宋体" w:cs="宋体"/>
          <w:sz w:val="18"/>
          <w:szCs w:val="18"/>
        </w:rPr>
        <w:t>17,319,449.70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w:t>
      </w:r>
      <w:r w:rsidRPr="00FC6EB6">
        <w:rPr>
          <w:rFonts w:ascii="宋体" w:eastAsia="宋体" w:hAnsi="宋体" w:cs="宋体" w:hint="eastAsia"/>
          <w:sz w:val="18"/>
          <w:szCs w:val="18"/>
        </w:rPr>
        <w:t>月</w:t>
      </w:r>
      <w:r w:rsidRPr="00FC6EB6">
        <w:rPr>
          <w:rFonts w:ascii="宋体" w:eastAsia="宋体" w:hAnsi="宋体" w:cs="宋体"/>
          <w:sz w:val="18"/>
          <w:szCs w:val="18"/>
        </w:rPr>
        <w:t>19</w:t>
      </w:r>
      <w:r w:rsidRPr="00FC6EB6">
        <w:rPr>
          <w:rFonts w:ascii="宋体" w:eastAsia="宋体" w:hAnsi="宋体" w:cs="宋体" w:hint="eastAsia"/>
          <w:sz w:val="18"/>
          <w:szCs w:val="18"/>
        </w:rPr>
        <w:t>日，公司的员工持股计划第三个锁定期届满，由其他资本公积转入资本溢价（股本溢价）</w:t>
      </w:r>
      <w:r w:rsidRPr="00FC6EB6">
        <w:rPr>
          <w:rFonts w:ascii="宋体" w:eastAsia="宋体" w:hAnsi="宋体" w:cs="宋体"/>
          <w:sz w:val="18"/>
          <w:szCs w:val="18"/>
        </w:rPr>
        <w:t>17,319,449.64</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②公司于</w:t>
      </w:r>
      <w:r w:rsidRPr="00FC6EB6">
        <w:rPr>
          <w:rFonts w:ascii="宋体" w:eastAsia="宋体" w:hAnsi="宋体" w:cs="宋体"/>
          <w:sz w:val="18"/>
          <w:szCs w:val="18"/>
        </w:rPr>
        <w:t>2021</w:t>
      </w:r>
      <w:r w:rsidRPr="00FC6EB6">
        <w:rPr>
          <w:rFonts w:ascii="宋体" w:eastAsia="宋体" w:hAnsi="宋体" w:cs="宋体" w:hint="eastAsia"/>
          <w:sz w:val="18"/>
          <w:szCs w:val="18"/>
        </w:rPr>
        <w:t>年</w:t>
      </w:r>
      <w:r w:rsidRPr="00FC6EB6">
        <w:rPr>
          <w:rFonts w:ascii="宋体" w:eastAsia="宋体" w:hAnsi="宋体" w:cs="宋体"/>
          <w:sz w:val="18"/>
          <w:szCs w:val="18"/>
        </w:rPr>
        <w:t>10</w:t>
      </w:r>
      <w:r w:rsidRPr="00FC6EB6">
        <w:rPr>
          <w:rFonts w:ascii="宋体" w:eastAsia="宋体" w:hAnsi="宋体" w:cs="宋体" w:hint="eastAsia"/>
          <w:sz w:val="18"/>
          <w:szCs w:val="18"/>
        </w:rPr>
        <w:t>月</w:t>
      </w:r>
      <w:r w:rsidRPr="00FC6EB6">
        <w:rPr>
          <w:rFonts w:ascii="宋体" w:eastAsia="宋体" w:hAnsi="宋体" w:cs="宋体"/>
          <w:sz w:val="18"/>
          <w:szCs w:val="18"/>
        </w:rPr>
        <w:t>22</w:t>
      </w:r>
      <w:r w:rsidRPr="00FC6EB6">
        <w:rPr>
          <w:rFonts w:ascii="宋体" w:eastAsia="宋体" w:hAnsi="宋体" w:cs="宋体" w:hint="eastAsia"/>
          <w:sz w:val="18"/>
          <w:szCs w:val="18"/>
        </w:rPr>
        <w:t>日召开第七届董事会第十八次会议、第七届监事会第十六次会议，审议通过了《关于向激励对象授予限制性股票的议案》，确定对官</w:t>
      </w:r>
      <w:proofErr w:type="gramStart"/>
      <w:r w:rsidRPr="00FC6EB6">
        <w:rPr>
          <w:rFonts w:ascii="宋体" w:eastAsia="宋体" w:hAnsi="宋体" w:cs="宋体" w:hint="eastAsia"/>
          <w:sz w:val="18"/>
          <w:szCs w:val="18"/>
        </w:rPr>
        <w:t>炳</w:t>
      </w:r>
      <w:proofErr w:type="gramEnd"/>
      <w:r w:rsidRPr="00FC6EB6">
        <w:rPr>
          <w:rFonts w:ascii="宋体" w:eastAsia="宋体" w:hAnsi="宋体" w:cs="宋体" w:hint="eastAsia"/>
          <w:sz w:val="18"/>
          <w:szCs w:val="18"/>
        </w:rPr>
        <w:t>政、杨慧丽、张垚等</w:t>
      </w:r>
      <w:r w:rsidRPr="00FC6EB6">
        <w:rPr>
          <w:rFonts w:ascii="宋体" w:eastAsia="宋体" w:hAnsi="宋体" w:cs="宋体"/>
          <w:sz w:val="18"/>
          <w:szCs w:val="18"/>
        </w:rPr>
        <w:t>20</w:t>
      </w:r>
      <w:r w:rsidRPr="00FC6EB6">
        <w:rPr>
          <w:rFonts w:ascii="宋体" w:eastAsia="宋体" w:hAnsi="宋体" w:cs="宋体" w:hint="eastAsia"/>
          <w:sz w:val="18"/>
          <w:szCs w:val="18"/>
        </w:rPr>
        <w:t>名参加对象授予</w:t>
      </w:r>
      <w:r w:rsidRPr="00FC6EB6">
        <w:rPr>
          <w:rFonts w:ascii="宋体" w:eastAsia="宋体" w:hAnsi="宋体" w:cs="宋体"/>
          <w:sz w:val="18"/>
          <w:szCs w:val="18"/>
        </w:rPr>
        <w:t>1,960</w:t>
      </w:r>
      <w:r w:rsidRPr="00FC6EB6">
        <w:rPr>
          <w:rFonts w:ascii="宋体" w:eastAsia="宋体" w:hAnsi="宋体" w:cs="宋体" w:hint="eastAsia"/>
          <w:sz w:val="18"/>
          <w:szCs w:val="18"/>
        </w:rPr>
        <w:t>万股限制性股票，本次实际</w:t>
      </w:r>
      <w:r w:rsidRPr="00FC6EB6">
        <w:rPr>
          <w:rFonts w:ascii="宋体" w:eastAsia="宋体" w:hAnsi="宋体" w:cs="宋体"/>
          <w:sz w:val="18"/>
          <w:szCs w:val="18"/>
        </w:rPr>
        <w:t>20</w:t>
      </w:r>
      <w:r w:rsidRPr="00FC6EB6">
        <w:rPr>
          <w:rFonts w:ascii="宋体" w:eastAsia="宋体" w:hAnsi="宋体" w:cs="宋体" w:hint="eastAsia"/>
          <w:sz w:val="18"/>
          <w:szCs w:val="18"/>
        </w:rPr>
        <w:t>名参加对象认购</w:t>
      </w:r>
      <w:r w:rsidRPr="00FC6EB6">
        <w:rPr>
          <w:rFonts w:ascii="宋体" w:eastAsia="宋体" w:hAnsi="宋体" w:cs="宋体"/>
          <w:sz w:val="18"/>
          <w:szCs w:val="18"/>
        </w:rPr>
        <w:t>19,600,000</w:t>
      </w:r>
      <w:r w:rsidRPr="00FC6EB6">
        <w:rPr>
          <w:rFonts w:ascii="宋体" w:eastAsia="宋体" w:hAnsi="宋体" w:cs="宋体" w:hint="eastAsia"/>
          <w:sz w:val="18"/>
          <w:szCs w:val="18"/>
        </w:rPr>
        <w:t>股限制性股票，股票面值</w:t>
      </w:r>
      <w:r w:rsidRPr="00FC6EB6">
        <w:rPr>
          <w:rFonts w:ascii="宋体" w:eastAsia="宋体" w:hAnsi="宋体" w:cs="宋体"/>
          <w:sz w:val="18"/>
          <w:szCs w:val="18"/>
        </w:rPr>
        <w:t>1</w:t>
      </w:r>
      <w:r w:rsidRPr="00FC6EB6">
        <w:rPr>
          <w:rFonts w:ascii="宋体" w:eastAsia="宋体" w:hAnsi="宋体" w:cs="宋体" w:hint="eastAsia"/>
          <w:sz w:val="18"/>
          <w:szCs w:val="18"/>
        </w:rPr>
        <w:t>元，认购价格为</w:t>
      </w:r>
      <w:r w:rsidRPr="00FC6EB6">
        <w:rPr>
          <w:rFonts w:ascii="宋体" w:eastAsia="宋体" w:hAnsi="宋体" w:cs="宋体"/>
          <w:sz w:val="18"/>
          <w:szCs w:val="18"/>
        </w:rPr>
        <w:t>2.55</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股，认缴股款人民币</w:t>
      </w:r>
      <w:r w:rsidRPr="00FC6EB6">
        <w:rPr>
          <w:rFonts w:ascii="宋体" w:eastAsia="宋体" w:hAnsi="宋体" w:cs="宋体"/>
          <w:sz w:val="18"/>
          <w:szCs w:val="18"/>
        </w:rPr>
        <w:t>49,980,000.00</w:t>
      </w:r>
      <w:r w:rsidRPr="00FC6EB6">
        <w:rPr>
          <w:rFonts w:ascii="宋体" w:eastAsia="宋体" w:hAnsi="宋体" w:cs="宋体" w:hint="eastAsia"/>
          <w:sz w:val="18"/>
          <w:szCs w:val="18"/>
        </w:rPr>
        <w:t>元，资本溢价（股本溢价）增加额为</w:t>
      </w:r>
      <w:r w:rsidRPr="00FC6EB6">
        <w:rPr>
          <w:rFonts w:ascii="宋体" w:eastAsia="宋体" w:hAnsi="宋体" w:cs="宋体"/>
          <w:sz w:val="18"/>
          <w:szCs w:val="18"/>
        </w:rPr>
        <w:t>30,380,000.00</w:t>
      </w:r>
      <w:r w:rsidRPr="00FC6EB6">
        <w:rPr>
          <w:rFonts w:ascii="宋体" w:eastAsia="宋体" w:hAnsi="宋体" w:cs="宋体" w:hint="eastAsia"/>
          <w:sz w:val="18"/>
          <w:szCs w:val="18"/>
        </w:rPr>
        <w:t>元，本期该笔以权益结算的股份支付确认的费用总额</w:t>
      </w:r>
      <w:r w:rsidRPr="00FC6EB6">
        <w:rPr>
          <w:rFonts w:ascii="宋体" w:eastAsia="宋体" w:hAnsi="宋体" w:cs="宋体"/>
          <w:sz w:val="18"/>
          <w:szCs w:val="18"/>
        </w:rPr>
        <w:t>23,448,950.04</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2022</w:t>
      </w:r>
      <w:r w:rsidRPr="00FC6EB6">
        <w:rPr>
          <w:rFonts w:ascii="宋体" w:eastAsia="宋体" w:hAnsi="宋体" w:cs="宋体" w:hint="eastAsia"/>
          <w:sz w:val="18"/>
          <w:szCs w:val="18"/>
        </w:rPr>
        <w:t>年</w:t>
      </w:r>
      <w:r w:rsidRPr="00FC6EB6">
        <w:rPr>
          <w:rFonts w:ascii="宋体" w:eastAsia="宋体" w:hAnsi="宋体" w:cs="宋体"/>
          <w:sz w:val="18"/>
          <w:szCs w:val="18"/>
        </w:rPr>
        <w:t>11</w:t>
      </w:r>
      <w:r w:rsidRPr="00FC6EB6">
        <w:rPr>
          <w:rFonts w:ascii="宋体" w:eastAsia="宋体" w:hAnsi="宋体" w:cs="宋体" w:hint="eastAsia"/>
          <w:sz w:val="18"/>
          <w:szCs w:val="18"/>
        </w:rPr>
        <w:t>月</w:t>
      </w:r>
      <w:r w:rsidRPr="00FC6EB6">
        <w:rPr>
          <w:rFonts w:ascii="宋体" w:eastAsia="宋体" w:hAnsi="宋体" w:cs="宋体"/>
          <w:sz w:val="18"/>
          <w:szCs w:val="18"/>
        </w:rPr>
        <w:t>17</w:t>
      </w:r>
      <w:r w:rsidRPr="00FC6EB6">
        <w:rPr>
          <w:rFonts w:ascii="宋体" w:eastAsia="宋体" w:hAnsi="宋体" w:cs="宋体" w:hint="eastAsia"/>
          <w:sz w:val="18"/>
          <w:szCs w:val="18"/>
        </w:rPr>
        <w:t>日，公司的</w:t>
      </w:r>
      <w:r w:rsidRPr="00FC6EB6">
        <w:rPr>
          <w:rFonts w:ascii="宋体" w:eastAsia="宋体" w:hAnsi="宋体" w:cs="宋体"/>
          <w:sz w:val="18"/>
          <w:szCs w:val="18"/>
        </w:rPr>
        <w:t>2021</w:t>
      </w:r>
      <w:r w:rsidRPr="00FC6EB6">
        <w:rPr>
          <w:rFonts w:ascii="宋体" w:eastAsia="宋体" w:hAnsi="宋体" w:cs="宋体" w:hint="eastAsia"/>
          <w:sz w:val="18"/>
          <w:szCs w:val="18"/>
        </w:rPr>
        <w:t>年限制性股票激励计划第一个锁定期届满，由其他资本公积转入资本溢价（股本溢价）</w:t>
      </w:r>
      <w:r w:rsidRPr="00FC6EB6">
        <w:rPr>
          <w:rFonts w:ascii="宋体" w:eastAsia="宋体" w:hAnsi="宋体" w:cs="宋体"/>
          <w:sz w:val="18"/>
          <w:szCs w:val="18"/>
        </w:rPr>
        <w:t>44,139,200.00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10</w:t>
      </w:r>
      <w:r w:rsidRPr="00FC6EB6">
        <w:rPr>
          <w:rFonts w:ascii="宋体" w:eastAsia="宋体" w:hAnsi="宋体" w:cs="宋体" w:hint="eastAsia"/>
          <w:sz w:val="18"/>
          <w:szCs w:val="18"/>
        </w:rPr>
        <w:t>月</w:t>
      </w:r>
      <w:r w:rsidRPr="00FC6EB6">
        <w:rPr>
          <w:rFonts w:ascii="宋体" w:eastAsia="宋体" w:hAnsi="宋体" w:cs="宋体"/>
          <w:sz w:val="18"/>
          <w:szCs w:val="18"/>
        </w:rPr>
        <w:t>24</w:t>
      </w:r>
      <w:r w:rsidRPr="00FC6EB6">
        <w:rPr>
          <w:rFonts w:ascii="宋体" w:eastAsia="宋体" w:hAnsi="宋体" w:cs="宋体" w:hint="eastAsia"/>
          <w:sz w:val="18"/>
          <w:szCs w:val="18"/>
        </w:rPr>
        <w:t>日，公司的</w:t>
      </w:r>
      <w:r w:rsidRPr="00FC6EB6">
        <w:rPr>
          <w:rFonts w:ascii="宋体" w:eastAsia="宋体" w:hAnsi="宋体" w:cs="宋体"/>
          <w:sz w:val="18"/>
          <w:szCs w:val="18"/>
        </w:rPr>
        <w:t>2021</w:t>
      </w:r>
      <w:r w:rsidRPr="00FC6EB6">
        <w:rPr>
          <w:rFonts w:ascii="宋体" w:eastAsia="宋体" w:hAnsi="宋体" w:cs="宋体" w:hint="eastAsia"/>
          <w:sz w:val="18"/>
          <w:szCs w:val="18"/>
        </w:rPr>
        <w:t>年限制性股票激励计划第二个锁定期届满，由其他资本公积转入资本溢价（股本溢价）</w:t>
      </w:r>
      <w:r w:rsidRPr="00FC6EB6">
        <w:rPr>
          <w:rFonts w:ascii="宋体" w:eastAsia="宋体" w:hAnsi="宋体" w:cs="宋体"/>
          <w:sz w:val="18"/>
          <w:szCs w:val="18"/>
        </w:rPr>
        <w:t>33,104,400.00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③公司于</w:t>
      </w:r>
      <w:r w:rsidRPr="00FC6EB6">
        <w:rPr>
          <w:rFonts w:ascii="宋体" w:eastAsia="宋体" w:hAnsi="宋体" w:cs="宋体"/>
          <w:sz w:val="18"/>
          <w:szCs w:val="18"/>
        </w:rPr>
        <w:t>2022</w:t>
      </w:r>
      <w:r w:rsidRPr="00FC6EB6">
        <w:rPr>
          <w:rFonts w:ascii="宋体" w:eastAsia="宋体" w:hAnsi="宋体" w:cs="宋体" w:hint="eastAsia"/>
          <w:sz w:val="18"/>
          <w:szCs w:val="18"/>
        </w:rPr>
        <w:t>年</w:t>
      </w:r>
      <w:r w:rsidRPr="00FC6EB6">
        <w:rPr>
          <w:rFonts w:ascii="宋体" w:eastAsia="宋体" w:hAnsi="宋体" w:cs="宋体"/>
          <w:sz w:val="18"/>
          <w:szCs w:val="18"/>
        </w:rPr>
        <w:t>8</w:t>
      </w:r>
      <w:r w:rsidRPr="00FC6EB6">
        <w:rPr>
          <w:rFonts w:ascii="宋体" w:eastAsia="宋体" w:hAnsi="宋体" w:cs="宋体" w:hint="eastAsia"/>
          <w:sz w:val="18"/>
          <w:szCs w:val="18"/>
        </w:rPr>
        <w:t>月</w:t>
      </w:r>
      <w:r w:rsidRPr="00FC6EB6">
        <w:rPr>
          <w:rFonts w:ascii="宋体" w:eastAsia="宋体" w:hAnsi="宋体" w:cs="宋体"/>
          <w:sz w:val="18"/>
          <w:szCs w:val="18"/>
        </w:rPr>
        <w:t>22</w:t>
      </w:r>
      <w:r w:rsidRPr="00FC6EB6">
        <w:rPr>
          <w:rFonts w:ascii="宋体" w:eastAsia="宋体" w:hAnsi="宋体" w:cs="宋体" w:hint="eastAsia"/>
          <w:sz w:val="18"/>
          <w:szCs w:val="18"/>
        </w:rPr>
        <w:t>日召开</w:t>
      </w:r>
      <w:r w:rsidRPr="00FC6EB6">
        <w:rPr>
          <w:rFonts w:ascii="宋体" w:eastAsia="宋体" w:hAnsi="宋体" w:cs="宋体"/>
          <w:sz w:val="18"/>
          <w:szCs w:val="18"/>
        </w:rPr>
        <w:t>2022</w:t>
      </w:r>
      <w:r w:rsidRPr="00FC6EB6">
        <w:rPr>
          <w:rFonts w:ascii="宋体" w:eastAsia="宋体" w:hAnsi="宋体" w:cs="宋体" w:hint="eastAsia"/>
          <w:sz w:val="18"/>
          <w:szCs w:val="18"/>
        </w:rPr>
        <w:t>年第一次临时股东大会审议通过了《关于</w:t>
      </w:r>
      <w:r w:rsidRPr="00FC6EB6">
        <w:rPr>
          <w:rFonts w:ascii="宋体" w:eastAsia="宋体" w:hAnsi="宋体" w:cs="宋体"/>
          <w:sz w:val="18"/>
          <w:szCs w:val="18"/>
        </w:rPr>
        <w:t>〈</w:t>
      </w:r>
      <w:r w:rsidRPr="00FC6EB6">
        <w:rPr>
          <w:rFonts w:ascii="宋体" w:eastAsia="宋体" w:hAnsi="宋体" w:cs="宋体" w:hint="eastAsia"/>
          <w:sz w:val="18"/>
          <w:szCs w:val="18"/>
        </w:rPr>
        <w:t>软控股份有限公司</w:t>
      </w:r>
      <w:r w:rsidRPr="00FC6EB6">
        <w:rPr>
          <w:rFonts w:ascii="宋体" w:eastAsia="宋体" w:hAnsi="宋体" w:cs="宋体"/>
          <w:sz w:val="18"/>
          <w:szCs w:val="18"/>
        </w:rPr>
        <w:t>2022</w:t>
      </w:r>
      <w:r w:rsidRPr="00FC6EB6">
        <w:rPr>
          <w:rFonts w:ascii="宋体" w:eastAsia="宋体" w:hAnsi="宋体" w:cs="宋体" w:hint="eastAsia"/>
          <w:sz w:val="18"/>
          <w:szCs w:val="18"/>
        </w:rPr>
        <w:t>年股票期权与限制性股票激励计划（草案）</w:t>
      </w:r>
      <w:r w:rsidRPr="00FC6EB6">
        <w:rPr>
          <w:rFonts w:ascii="宋体" w:eastAsia="宋体" w:hAnsi="宋体" w:cs="宋体"/>
          <w:sz w:val="18"/>
          <w:szCs w:val="18"/>
        </w:rPr>
        <w:t>〉</w:t>
      </w:r>
      <w:r w:rsidRPr="00FC6EB6">
        <w:rPr>
          <w:rFonts w:ascii="宋体" w:eastAsia="宋体" w:hAnsi="宋体" w:cs="宋体" w:hint="eastAsia"/>
          <w:sz w:val="18"/>
          <w:szCs w:val="18"/>
        </w:rPr>
        <w:t>及其摘要的议案》、《关于</w:t>
      </w:r>
      <w:r w:rsidRPr="00FC6EB6">
        <w:rPr>
          <w:rFonts w:ascii="宋体" w:eastAsia="宋体" w:hAnsi="宋体" w:cs="宋体"/>
          <w:sz w:val="18"/>
          <w:szCs w:val="18"/>
        </w:rPr>
        <w:t>〈</w:t>
      </w:r>
      <w:r w:rsidRPr="00FC6EB6">
        <w:rPr>
          <w:rFonts w:ascii="宋体" w:eastAsia="宋体" w:hAnsi="宋体" w:cs="宋体" w:hint="eastAsia"/>
          <w:sz w:val="18"/>
          <w:szCs w:val="18"/>
        </w:rPr>
        <w:t>软控股份有限公司</w:t>
      </w:r>
      <w:r w:rsidRPr="00FC6EB6">
        <w:rPr>
          <w:rFonts w:ascii="宋体" w:eastAsia="宋体" w:hAnsi="宋体" w:cs="宋体"/>
          <w:sz w:val="18"/>
          <w:szCs w:val="18"/>
        </w:rPr>
        <w:t>2022</w:t>
      </w:r>
      <w:r w:rsidRPr="00FC6EB6">
        <w:rPr>
          <w:rFonts w:ascii="宋体" w:eastAsia="宋体" w:hAnsi="宋体" w:cs="宋体" w:hint="eastAsia"/>
          <w:sz w:val="18"/>
          <w:szCs w:val="18"/>
        </w:rPr>
        <w:t>年股票期权与限制性股票激励计划实施考核管理办法</w:t>
      </w:r>
      <w:r w:rsidRPr="00FC6EB6">
        <w:rPr>
          <w:rFonts w:ascii="宋体" w:eastAsia="宋体" w:hAnsi="宋体" w:cs="宋体"/>
          <w:sz w:val="18"/>
          <w:szCs w:val="18"/>
        </w:rPr>
        <w:t>〉</w:t>
      </w:r>
      <w:r w:rsidRPr="00FC6EB6">
        <w:rPr>
          <w:rFonts w:ascii="宋体" w:eastAsia="宋体" w:hAnsi="宋体" w:cs="宋体" w:hint="eastAsia"/>
          <w:sz w:val="18"/>
          <w:szCs w:val="18"/>
        </w:rPr>
        <w:t>的议案》、《关于提请股东大会授权董事会办理股权激励相关事宜的议案》等与本次激励计划相关的议案。</w:t>
      </w:r>
      <w:r w:rsidRPr="00FC6EB6">
        <w:rPr>
          <w:rFonts w:ascii="宋体" w:eastAsia="宋体" w:hAnsi="宋体" w:cs="宋体"/>
          <w:sz w:val="18"/>
          <w:szCs w:val="18"/>
        </w:rPr>
        <w:t>2022</w:t>
      </w:r>
      <w:r w:rsidRPr="00FC6EB6">
        <w:rPr>
          <w:rFonts w:ascii="宋体" w:eastAsia="宋体" w:hAnsi="宋体" w:cs="宋体" w:hint="eastAsia"/>
          <w:sz w:val="18"/>
          <w:szCs w:val="18"/>
        </w:rPr>
        <w:t>年</w:t>
      </w:r>
      <w:r w:rsidRPr="00FC6EB6">
        <w:rPr>
          <w:rFonts w:ascii="宋体" w:eastAsia="宋体" w:hAnsi="宋体" w:cs="宋体"/>
          <w:sz w:val="18"/>
          <w:szCs w:val="18"/>
        </w:rPr>
        <w:t>8</w:t>
      </w:r>
      <w:r w:rsidRPr="00FC6EB6">
        <w:rPr>
          <w:rFonts w:ascii="宋体" w:eastAsia="宋体" w:hAnsi="宋体" w:cs="宋体" w:hint="eastAsia"/>
          <w:sz w:val="18"/>
          <w:szCs w:val="18"/>
        </w:rPr>
        <w:t>月</w:t>
      </w:r>
      <w:r w:rsidRPr="00FC6EB6">
        <w:rPr>
          <w:rFonts w:ascii="宋体" w:eastAsia="宋体" w:hAnsi="宋体" w:cs="宋体"/>
          <w:sz w:val="18"/>
          <w:szCs w:val="18"/>
        </w:rPr>
        <w:t>22</w:t>
      </w:r>
      <w:r w:rsidRPr="00FC6EB6">
        <w:rPr>
          <w:rFonts w:ascii="宋体" w:eastAsia="宋体" w:hAnsi="宋体" w:cs="宋体" w:hint="eastAsia"/>
          <w:sz w:val="18"/>
          <w:szCs w:val="18"/>
        </w:rPr>
        <w:t>日召开第八届董事会第三次会议、第八届监事会第四次会议，审议通过了《关于向激励对象授予股票期权与限制性股票的议案》，确定向符合激励计划的激励对象授予总计</w:t>
      </w:r>
      <w:r w:rsidRPr="00FC6EB6">
        <w:rPr>
          <w:rFonts w:ascii="宋体" w:eastAsia="宋体" w:hAnsi="宋体" w:cs="宋体"/>
          <w:sz w:val="18"/>
          <w:szCs w:val="18"/>
        </w:rPr>
        <w:t>3,980.00</w:t>
      </w:r>
      <w:r w:rsidRPr="00FC6EB6">
        <w:rPr>
          <w:rFonts w:ascii="宋体" w:eastAsia="宋体" w:hAnsi="宋体" w:cs="宋体" w:hint="eastAsia"/>
          <w:sz w:val="18"/>
          <w:szCs w:val="18"/>
        </w:rPr>
        <w:t>万份权益。其中，确定对官</w:t>
      </w:r>
      <w:proofErr w:type="gramStart"/>
      <w:r w:rsidRPr="00FC6EB6">
        <w:rPr>
          <w:rFonts w:ascii="宋体" w:eastAsia="宋体" w:hAnsi="宋体" w:cs="宋体" w:hint="eastAsia"/>
          <w:sz w:val="18"/>
          <w:szCs w:val="18"/>
        </w:rPr>
        <w:t>炳</w:t>
      </w:r>
      <w:proofErr w:type="gramEnd"/>
      <w:r w:rsidRPr="00FC6EB6">
        <w:rPr>
          <w:rFonts w:ascii="宋体" w:eastAsia="宋体" w:hAnsi="宋体" w:cs="宋体" w:hint="eastAsia"/>
          <w:sz w:val="18"/>
          <w:szCs w:val="18"/>
        </w:rPr>
        <w:t>政、张垚、杨慧丽等</w:t>
      </w:r>
      <w:r w:rsidRPr="00FC6EB6">
        <w:rPr>
          <w:rFonts w:ascii="宋体" w:eastAsia="宋体" w:hAnsi="宋体" w:cs="宋体"/>
          <w:sz w:val="18"/>
          <w:szCs w:val="18"/>
        </w:rPr>
        <w:t>251</w:t>
      </w:r>
      <w:r w:rsidRPr="00FC6EB6">
        <w:rPr>
          <w:rFonts w:ascii="宋体" w:eastAsia="宋体" w:hAnsi="宋体" w:cs="宋体" w:hint="eastAsia"/>
          <w:sz w:val="18"/>
          <w:szCs w:val="18"/>
        </w:rPr>
        <w:t>名激励对象授予</w:t>
      </w:r>
      <w:r w:rsidRPr="00FC6EB6">
        <w:rPr>
          <w:rFonts w:ascii="宋体" w:eastAsia="宋体" w:hAnsi="宋体" w:cs="宋体"/>
          <w:sz w:val="18"/>
          <w:szCs w:val="18"/>
        </w:rPr>
        <w:t>2388</w:t>
      </w:r>
      <w:r w:rsidRPr="00FC6EB6">
        <w:rPr>
          <w:rFonts w:ascii="宋体" w:eastAsia="宋体" w:hAnsi="宋体" w:cs="宋体" w:hint="eastAsia"/>
          <w:sz w:val="18"/>
          <w:szCs w:val="18"/>
        </w:rPr>
        <w:t>万份股票期权，期权行权价格为</w:t>
      </w:r>
      <w:r w:rsidRPr="00FC6EB6">
        <w:rPr>
          <w:rFonts w:ascii="宋体" w:eastAsia="宋体" w:hAnsi="宋体" w:cs="宋体"/>
          <w:sz w:val="18"/>
          <w:szCs w:val="18"/>
        </w:rPr>
        <w:t>6.17</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股；股票期权本期以权益结算的股份支付确认的费用总额</w:t>
      </w:r>
      <w:r w:rsidRPr="00FC6EB6">
        <w:rPr>
          <w:rFonts w:ascii="宋体" w:eastAsia="宋体" w:hAnsi="宋体" w:cs="宋体"/>
          <w:sz w:val="18"/>
          <w:szCs w:val="18"/>
        </w:rPr>
        <w:t>14,442,425.00</w:t>
      </w:r>
      <w:r w:rsidRPr="00FC6EB6">
        <w:rPr>
          <w:rFonts w:ascii="宋体" w:eastAsia="宋体" w:hAnsi="宋体" w:cs="宋体" w:hint="eastAsia"/>
          <w:sz w:val="18"/>
          <w:szCs w:val="18"/>
        </w:rPr>
        <w:t>元；确定对官</w:t>
      </w:r>
      <w:proofErr w:type="gramStart"/>
      <w:r w:rsidRPr="00FC6EB6">
        <w:rPr>
          <w:rFonts w:ascii="宋体" w:eastAsia="宋体" w:hAnsi="宋体" w:cs="宋体" w:hint="eastAsia"/>
          <w:sz w:val="18"/>
          <w:szCs w:val="18"/>
        </w:rPr>
        <w:t>炳</w:t>
      </w:r>
      <w:proofErr w:type="gramEnd"/>
      <w:r w:rsidRPr="00FC6EB6">
        <w:rPr>
          <w:rFonts w:ascii="宋体" w:eastAsia="宋体" w:hAnsi="宋体" w:cs="宋体" w:hint="eastAsia"/>
          <w:sz w:val="18"/>
          <w:szCs w:val="18"/>
        </w:rPr>
        <w:t>政、张垚、杨慧丽等</w:t>
      </w:r>
      <w:r w:rsidRPr="00FC6EB6">
        <w:rPr>
          <w:rFonts w:ascii="宋体" w:eastAsia="宋体" w:hAnsi="宋体" w:cs="宋体"/>
          <w:sz w:val="18"/>
          <w:szCs w:val="18"/>
        </w:rPr>
        <w:t>245</w:t>
      </w:r>
      <w:r w:rsidRPr="00FC6EB6">
        <w:rPr>
          <w:rFonts w:ascii="宋体" w:eastAsia="宋体" w:hAnsi="宋体" w:cs="宋体" w:hint="eastAsia"/>
          <w:sz w:val="18"/>
          <w:szCs w:val="18"/>
        </w:rPr>
        <w:t>名参加对象授予</w:t>
      </w:r>
      <w:r w:rsidRPr="00FC6EB6">
        <w:rPr>
          <w:rFonts w:ascii="宋体" w:eastAsia="宋体" w:hAnsi="宋体" w:cs="宋体"/>
          <w:sz w:val="18"/>
          <w:szCs w:val="18"/>
        </w:rPr>
        <w:t>1,592</w:t>
      </w:r>
      <w:r w:rsidRPr="00FC6EB6">
        <w:rPr>
          <w:rFonts w:ascii="宋体" w:eastAsia="宋体" w:hAnsi="宋体" w:cs="宋体" w:hint="eastAsia"/>
          <w:sz w:val="18"/>
          <w:szCs w:val="18"/>
        </w:rPr>
        <w:t>万股限制性股票，本次实际</w:t>
      </w:r>
      <w:r w:rsidRPr="00FC6EB6">
        <w:rPr>
          <w:rFonts w:ascii="宋体" w:eastAsia="宋体" w:hAnsi="宋体" w:cs="宋体"/>
          <w:sz w:val="18"/>
          <w:szCs w:val="18"/>
        </w:rPr>
        <w:t>245</w:t>
      </w:r>
      <w:r w:rsidRPr="00FC6EB6">
        <w:rPr>
          <w:rFonts w:ascii="宋体" w:eastAsia="宋体" w:hAnsi="宋体" w:cs="宋体" w:hint="eastAsia"/>
          <w:sz w:val="18"/>
          <w:szCs w:val="18"/>
        </w:rPr>
        <w:t>名参加对象认购</w:t>
      </w:r>
      <w:r w:rsidRPr="00FC6EB6">
        <w:rPr>
          <w:rFonts w:ascii="宋体" w:eastAsia="宋体" w:hAnsi="宋体" w:cs="宋体"/>
          <w:sz w:val="18"/>
          <w:szCs w:val="18"/>
        </w:rPr>
        <w:t>15,920,000</w:t>
      </w:r>
      <w:r w:rsidRPr="00FC6EB6">
        <w:rPr>
          <w:rFonts w:ascii="宋体" w:eastAsia="宋体" w:hAnsi="宋体" w:cs="宋体" w:hint="eastAsia"/>
          <w:sz w:val="18"/>
          <w:szCs w:val="18"/>
        </w:rPr>
        <w:t>股限制性股票，股票面值</w:t>
      </w:r>
      <w:r w:rsidRPr="00FC6EB6">
        <w:rPr>
          <w:rFonts w:ascii="宋体" w:eastAsia="宋体" w:hAnsi="宋体" w:cs="宋体"/>
          <w:sz w:val="18"/>
          <w:szCs w:val="18"/>
        </w:rPr>
        <w:t>1</w:t>
      </w:r>
      <w:r w:rsidRPr="00FC6EB6">
        <w:rPr>
          <w:rFonts w:ascii="宋体" w:eastAsia="宋体" w:hAnsi="宋体" w:cs="宋体" w:hint="eastAsia"/>
          <w:sz w:val="18"/>
          <w:szCs w:val="18"/>
        </w:rPr>
        <w:t>元，认购价格为</w:t>
      </w:r>
      <w:r w:rsidRPr="00FC6EB6">
        <w:rPr>
          <w:rFonts w:ascii="宋体" w:eastAsia="宋体" w:hAnsi="宋体" w:cs="宋体"/>
          <w:sz w:val="18"/>
          <w:szCs w:val="18"/>
        </w:rPr>
        <w:t>3.86</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股。本期以权益结算的股份支付限制</w:t>
      </w:r>
      <w:r w:rsidRPr="00FC6EB6">
        <w:rPr>
          <w:rFonts w:ascii="宋体" w:eastAsia="宋体" w:hAnsi="宋体" w:cs="宋体" w:hint="eastAsia"/>
          <w:sz w:val="18"/>
          <w:szCs w:val="18"/>
        </w:rPr>
        <w:lastRenderedPageBreak/>
        <w:t>性股票确认的费用总额为</w:t>
      </w:r>
      <w:r w:rsidRPr="00FC6EB6">
        <w:rPr>
          <w:rFonts w:ascii="宋体" w:eastAsia="宋体" w:hAnsi="宋体" w:cs="宋体"/>
          <w:sz w:val="18"/>
          <w:szCs w:val="18"/>
        </w:rPr>
        <w:t>32,290,968.75</w:t>
      </w:r>
      <w:r w:rsidRPr="00FC6EB6">
        <w:rPr>
          <w:rFonts w:ascii="宋体" w:eastAsia="宋体" w:hAnsi="宋体" w:cs="宋体" w:hint="eastAsia"/>
          <w:sz w:val="18"/>
          <w:szCs w:val="18"/>
        </w:rPr>
        <w:t>元，股票期权确认的费用总额为</w:t>
      </w:r>
      <w:r w:rsidRPr="00FC6EB6">
        <w:rPr>
          <w:rFonts w:ascii="宋体" w:eastAsia="宋体" w:hAnsi="宋体" w:cs="宋体"/>
          <w:sz w:val="18"/>
          <w:szCs w:val="18"/>
        </w:rPr>
        <w:t>25,672,428.08</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10</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日，公司的</w:t>
      </w:r>
      <w:r w:rsidRPr="00FC6EB6">
        <w:rPr>
          <w:rFonts w:ascii="宋体" w:eastAsia="宋体" w:hAnsi="宋体" w:cs="宋体"/>
          <w:sz w:val="18"/>
          <w:szCs w:val="18"/>
        </w:rPr>
        <w:t>2022</w:t>
      </w:r>
      <w:r w:rsidRPr="00FC6EB6">
        <w:rPr>
          <w:rFonts w:ascii="宋体" w:eastAsia="宋体" w:hAnsi="宋体" w:cs="宋体" w:hint="eastAsia"/>
          <w:sz w:val="18"/>
          <w:szCs w:val="18"/>
        </w:rPr>
        <w:t>年限制性股票激励计划第一个锁定期届满，由其他资本公积转入资本溢价（股本溢价）</w:t>
      </w:r>
      <w:r w:rsidRPr="00FC6EB6">
        <w:rPr>
          <w:rFonts w:ascii="宋体" w:eastAsia="宋体" w:hAnsi="宋体" w:cs="宋体"/>
          <w:sz w:val="18"/>
          <w:szCs w:val="18"/>
        </w:rPr>
        <w:t>27,047,000.00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10</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日，公司的</w:t>
      </w:r>
      <w:r w:rsidRPr="00FC6EB6">
        <w:rPr>
          <w:rFonts w:ascii="宋体" w:eastAsia="宋体" w:hAnsi="宋体" w:cs="宋体"/>
          <w:sz w:val="18"/>
          <w:szCs w:val="18"/>
        </w:rPr>
        <w:t>2022</w:t>
      </w:r>
      <w:r w:rsidRPr="00FC6EB6">
        <w:rPr>
          <w:rFonts w:ascii="宋体" w:eastAsia="宋体" w:hAnsi="宋体" w:cs="宋体" w:hint="eastAsia"/>
          <w:sz w:val="18"/>
          <w:szCs w:val="18"/>
        </w:rPr>
        <w:t>年股票期权激励计划第一个锁定期届满，由其他资本公积转入资本溢价（股本溢价）</w:t>
      </w:r>
      <w:r w:rsidRPr="00FC6EB6">
        <w:rPr>
          <w:rFonts w:ascii="宋体" w:eastAsia="宋体" w:hAnsi="宋体" w:cs="宋体"/>
          <w:sz w:val="18"/>
          <w:szCs w:val="18"/>
        </w:rPr>
        <w:t>10,658,644.70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9</w:t>
      </w:r>
      <w:r w:rsidRPr="00FC6EB6">
        <w:rPr>
          <w:rFonts w:ascii="宋体" w:eastAsia="宋体" w:hAnsi="宋体" w:cs="宋体" w:hint="eastAsia"/>
          <w:sz w:val="18"/>
          <w:szCs w:val="18"/>
        </w:rPr>
        <w:t>月</w:t>
      </w:r>
      <w:r w:rsidRPr="00FC6EB6">
        <w:rPr>
          <w:rFonts w:ascii="宋体" w:eastAsia="宋体" w:hAnsi="宋体" w:cs="宋体"/>
          <w:sz w:val="18"/>
          <w:szCs w:val="18"/>
        </w:rPr>
        <w:t>20</w:t>
      </w:r>
      <w:r w:rsidRPr="00FC6EB6">
        <w:rPr>
          <w:rFonts w:ascii="宋体" w:eastAsia="宋体" w:hAnsi="宋体" w:cs="宋体" w:hint="eastAsia"/>
          <w:sz w:val="18"/>
          <w:szCs w:val="18"/>
        </w:rPr>
        <w:t>日，公司召开第八届董事会第十二次会议、第八届监事会第十四次会议，审议通过了《关于公司</w:t>
      </w:r>
      <w:r w:rsidRPr="00FC6EB6">
        <w:rPr>
          <w:rFonts w:ascii="宋体" w:eastAsia="宋体" w:hAnsi="宋体" w:cs="宋体"/>
          <w:sz w:val="18"/>
          <w:szCs w:val="18"/>
        </w:rPr>
        <w:t>2022</w:t>
      </w:r>
      <w:r w:rsidRPr="00FC6EB6">
        <w:rPr>
          <w:rFonts w:ascii="宋体" w:eastAsia="宋体" w:hAnsi="宋体" w:cs="宋体" w:hint="eastAsia"/>
          <w:sz w:val="18"/>
          <w:szCs w:val="18"/>
        </w:rPr>
        <w:t>年股票期权与限制性股票激励计划第一个行权期行权条件成就及调整行权价格的议案》，可行权数量为</w:t>
      </w:r>
      <w:r w:rsidRPr="00FC6EB6">
        <w:rPr>
          <w:rFonts w:ascii="宋体" w:eastAsia="宋体" w:hAnsi="宋体" w:cs="宋体"/>
          <w:sz w:val="18"/>
          <w:szCs w:val="18"/>
        </w:rPr>
        <w:t>947.20</w:t>
      </w:r>
      <w:r w:rsidRPr="00FC6EB6">
        <w:rPr>
          <w:rFonts w:ascii="宋体" w:eastAsia="宋体" w:hAnsi="宋体" w:cs="宋体" w:hint="eastAsia"/>
          <w:sz w:val="18"/>
          <w:szCs w:val="18"/>
        </w:rPr>
        <w:t>万份，行权价格</w:t>
      </w:r>
      <w:r w:rsidRPr="00FC6EB6">
        <w:rPr>
          <w:rFonts w:ascii="宋体" w:eastAsia="宋体" w:hAnsi="宋体" w:cs="宋体"/>
          <w:sz w:val="18"/>
          <w:szCs w:val="18"/>
        </w:rPr>
        <w:t>6.124</w:t>
      </w:r>
      <w:r w:rsidRPr="00FC6EB6">
        <w:rPr>
          <w:rFonts w:ascii="宋体" w:eastAsia="宋体" w:hAnsi="宋体" w:cs="宋体" w:hint="eastAsia"/>
          <w:sz w:val="18"/>
          <w:szCs w:val="18"/>
        </w:rPr>
        <w:t>元，采用自主行权模式。</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9</w:t>
      </w:r>
      <w:r w:rsidRPr="00FC6EB6">
        <w:rPr>
          <w:rFonts w:ascii="宋体" w:eastAsia="宋体" w:hAnsi="宋体" w:cs="宋体" w:hint="eastAsia"/>
          <w:sz w:val="18"/>
          <w:szCs w:val="18"/>
        </w:rPr>
        <w:t>月</w:t>
      </w:r>
      <w:r w:rsidRPr="00FC6EB6">
        <w:rPr>
          <w:rFonts w:ascii="宋体" w:eastAsia="宋体" w:hAnsi="宋体" w:cs="宋体"/>
          <w:sz w:val="18"/>
          <w:szCs w:val="18"/>
        </w:rPr>
        <w:t>30</w:t>
      </w:r>
      <w:r w:rsidRPr="00FC6EB6">
        <w:rPr>
          <w:rFonts w:ascii="宋体" w:eastAsia="宋体" w:hAnsi="宋体" w:cs="宋体" w:hint="eastAsia"/>
          <w:sz w:val="18"/>
          <w:szCs w:val="18"/>
        </w:rPr>
        <w:t>日</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12</w:t>
      </w:r>
      <w:r w:rsidRPr="00FC6EB6">
        <w:rPr>
          <w:rFonts w:ascii="宋体" w:eastAsia="宋体" w:hAnsi="宋体" w:cs="宋体" w:hint="eastAsia"/>
          <w:sz w:val="18"/>
          <w:szCs w:val="18"/>
        </w:rPr>
        <w:t>月</w:t>
      </w:r>
      <w:r w:rsidRPr="00FC6EB6">
        <w:rPr>
          <w:rFonts w:ascii="宋体" w:eastAsia="宋体" w:hAnsi="宋体" w:cs="宋体"/>
          <w:sz w:val="18"/>
          <w:szCs w:val="18"/>
        </w:rPr>
        <w:t>31</w:t>
      </w:r>
      <w:r w:rsidRPr="00FC6EB6">
        <w:rPr>
          <w:rFonts w:ascii="宋体" w:eastAsia="宋体" w:hAnsi="宋体" w:cs="宋体" w:hint="eastAsia"/>
          <w:sz w:val="18"/>
          <w:szCs w:val="18"/>
        </w:rPr>
        <w:t>日，实际行权</w:t>
      </w:r>
      <w:r w:rsidRPr="00FC6EB6">
        <w:rPr>
          <w:rFonts w:ascii="宋体" w:eastAsia="宋体" w:hAnsi="宋体" w:cs="宋体"/>
          <w:sz w:val="18"/>
          <w:szCs w:val="18"/>
        </w:rPr>
        <w:t>131</w:t>
      </w:r>
      <w:r w:rsidRPr="00FC6EB6">
        <w:rPr>
          <w:rFonts w:ascii="宋体" w:eastAsia="宋体" w:hAnsi="宋体" w:cs="宋体" w:hint="eastAsia"/>
          <w:sz w:val="18"/>
          <w:szCs w:val="18"/>
        </w:rPr>
        <w:t>人，行使股票期权</w:t>
      </w:r>
      <w:r w:rsidRPr="00FC6EB6">
        <w:rPr>
          <w:rFonts w:ascii="宋体" w:eastAsia="宋体" w:hAnsi="宋体" w:cs="宋体"/>
          <w:sz w:val="18"/>
          <w:szCs w:val="18"/>
        </w:rPr>
        <w:t>5,099,830</w:t>
      </w:r>
      <w:r w:rsidRPr="00FC6EB6">
        <w:rPr>
          <w:rFonts w:ascii="宋体" w:eastAsia="宋体" w:hAnsi="宋体" w:cs="宋体" w:hint="eastAsia"/>
          <w:sz w:val="18"/>
          <w:szCs w:val="18"/>
        </w:rPr>
        <w:t>份。截至</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12</w:t>
      </w:r>
      <w:r w:rsidRPr="00FC6EB6">
        <w:rPr>
          <w:rFonts w:ascii="宋体" w:eastAsia="宋体" w:hAnsi="宋体" w:cs="宋体" w:hint="eastAsia"/>
          <w:sz w:val="18"/>
          <w:szCs w:val="18"/>
        </w:rPr>
        <w:t>月</w:t>
      </w:r>
      <w:r w:rsidRPr="00FC6EB6">
        <w:rPr>
          <w:rFonts w:ascii="宋体" w:eastAsia="宋体" w:hAnsi="宋体" w:cs="宋体"/>
          <w:sz w:val="18"/>
          <w:szCs w:val="18"/>
        </w:rPr>
        <w:t>31</w:t>
      </w:r>
      <w:r w:rsidRPr="00FC6EB6">
        <w:rPr>
          <w:rFonts w:ascii="宋体" w:eastAsia="宋体" w:hAnsi="宋体" w:cs="宋体" w:hint="eastAsia"/>
          <w:sz w:val="18"/>
          <w:szCs w:val="18"/>
        </w:rPr>
        <w:t>日止，公司已收到</w:t>
      </w:r>
      <w:r w:rsidRPr="00FC6EB6">
        <w:rPr>
          <w:rFonts w:ascii="宋体" w:eastAsia="宋体" w:hAnsi="宋体" w:cs="宋体"/>
          <w:sz w:val="18"/>
          <w:szCs w:val="18"/>
        </w:rPr>
        <w:t>131</w:t>
      </w:r>
      <w:r w:rsidRPr="00FC6EB6">
        <w:rPr>
          <w:rFonts w:ascii="宋体" w:eastAsia="宋体" w:hAnsi="宋体" w:cs="宋体" w:hint="eastAsia"/>
          <w:sz w:val="18"/>
          <w:szCs w:val="18"/>
        </w:rPr>
        <w:t>名参加对象认缴股款人民币</w:t>
      </w:r>
      <w:r w:rsidRPr="00FC6EB6">
        <w:rPr>
          <w:rFonts w:ascii="宋体" w:eastAsia="宋体" w:hAnsi="宋体" w:cs="宋体"/>
          <w:sz w:val="18"/>
          <w:szCs w:val="18"/>
        </w:rPr>
        <w:t>31,231,358.92</w:t>
      </w:r>
      <w:r w:rsidRPr="00FC6EB6">
        <w:rPr>
          <w:rFonts w:ascii="宋体" w:eastAsia="宋体" w:hAnsi="宋体" w:cs="宋体" w:hint="eastAsia"/>
          <w:sz w:val="18"/>
          <w:szCs w:val="18"/>
        </w:rPr>
        <w:t>元，其中新增股本</w:t>
      </w:r>
      <w:r w:rsidRPr="00FC6EB6">
        <w:rPr>
          <w:rFonts w:ascii="宋体" w:eastAsia="宋体" w:hAnsi="宋体" w:cs="宋体"/>
          <w:sz w:val="18"/>
          <w:szCs w:val="18"/>
        </w:rPr>
        <w:t>5,099,830.00</w:t>
      </w:r>
      <w:r w:rsidRPr="00FC6EB6">
        <w:rPr>
          <w:rFonts w:ascii="宋体" w:eastAsia="宋体" w:hAnsi="宋体" w:cs="宋体" w:hint="eastAsia"/>
          <w:sz w:val="18"/>
          <w:szCs w:val="18"/>
        </w:rPr>
        <w:t>元，资本溢价（股本溢价）</w:t>
      </w:r>
      <w:r w:rsidRPr="00FC6EB6">
        <w:rPr>
          <w:rFonts w:ascii="宋体" w:eastAsia="宋体" w:hAnsi="宋体" w:cs="宋体"/>
          <w:sz w:val="18"/>
          <w:szCs w:val="18"/>
        </w:rPr>
        <w:t>26,131,528.92</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④公司于</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8</w:t>
      </w:r>
      <w:r w:rsidRPr="00FC6EB6">
        <w:rPr>
          <w:rFonts w:ascii="宋体" w:eastAsia="宋体" w:hAnsi="宋体" w:cs="宋体" w:hint="eastAsia"/>
          <w:sz w:val="18"/>
          <w:szCs w:val="18"/>
        </w:rPr>
        <w:t>月</w:t>
      </w:r>
      <w:r w:rsidRPr="00FC6EB6">
        <w:rPr>
          <w:rFonts w:ascii="宋体" w:eastAsia="宋体" w:hAnsi="宋体" w:cs="宋体"/>
          <w:sz w:val="18"/>
          <w:szCs w:val="18"/>
        </w:rPr>
        <w:t>15</w:t>
      </w:r>
      <w:r w:rsidRPr="00FC6EB6">
        <w:rPr>
          <w:rFonts w:ascii="宋体" w:eastAsia="宋体" w:hAnsi="宋体" w:cs="宋体" w:hint="eastAsia"/>
          <w:sz w:val="18"/>
          <w:szCs w:val="18"/>
        </w:rPr>
        <w:t>日召开</w:t>
      </w:r>
      <w:r w:rsidRPr="00FC6EB6">
        <w:rPr>
          <w:rFonts w:ascii="宋体" w:eastAsia="宋体" w:hAnsi="宋体" w:cs="宋体"/>
          <w:sz w:val="18"/>
          <w:szCs w:val="18"/>
        </w:rPr>
        <w:t>2023</w:t>
      </w:r>
      <w:r w:rsidRPr="00FC6EB6">
        <w:rPr>
          <w:rFonts w:ascii="宋体" w:eastAsia="宋体" w:hAnsi="宋体" w:cs="宋体" w:hint="eastAsia"/>
          <w:sz w:val="18"/>
          <w:szCs w:val="18"/>
        </w:rPr>
        <w:t>年第一次临时股东大会，</w:t>
      </w:r>
      <w:r w:rsidRPr="00FC6EB6">
        <w:rPr>
          <w:rFonts w:ascii="宋体" w:eastAsia="宋体" w:hAnsi="宋体" w:cs="宋体"/>
          <w:sz w:val="18"/>
          <w:szCs w:val="18"/>
        </w:rPr>
        <w:t>2023</w:t>
      </w:r>
      <w:r w:rsidRPr="00FC6EB6">
        <w:rPr>
          <w:rFonts w:ascii="宋体" w:eastAsia="宋体" w:hAnsi="宋体" w:cs="宋体" w:hint="eastAsia"/>
          <w:sz w:val="18"/>
          <w:szCs w:val="18"/>
        </w:rPr>
        <w:t>年</w:t>
      </w:r>
      <w:r w:rsidRPr="00FC6EB6">
        <w:rPr>
          <w:rFonts w:ascii="宋体" w:eastAsia="宋体" w:hAnsi="宋体" w:cs="宋体"/>
          <w:sz w:val="18"/>
          <w:szCs w:val="18"/>
        </w:rPr>
        <w:t>8</w:t>
      </w:r>
      <w:r w:rsidRPr="00FC6EB6">
        <w:rPr>
          <w:rFonts w:ascii="宋体" w:eastAsia="宋体" w:hAnsi="宋体" w:cs="宋体" w:hint="eastAsia"/>
          <w:sz w:val="18"/>
          <w:szCs w:val="18"/>
        </w:rPr>
        <w:t>月</w:t>
      </w:r>
      <w:r w:rsidRPr="00FC6EB6">
        <w:rPr>
          <w:rFonts w:ascii="宋体" w:eastAsia="宋体" w:hAnsi="宋体" w:cs="宋体"/>
          <w:sz w:val="18"/>
          <w:szCs w:val="18"/>
        </w:rPr>
        <w:t>28</w:t>
      </w:r>
      <w:r w:rsidRPr="00FC6EB6">
        <w:rPr>
          <w:rFonts w:ascii="宋体" w:eastAsia="宋体" w:hAnsi="宋体" w:cs="宋体" w:hint="eastAsia"/>
          <w:sz w:val="18"/>
          <w:szCs w:val="18"/>
        </w:rPr>
        <w:t>日召开第八届董事会第十一次会议、第八届监事会第十三次会议，审议通过了《关于向激励对象授予限制性股票的议案》，确定向符合激励计划的激励对象授予总计</w:t>
      </w:r>
      <w:r w:rsidRPr="00FC6EB6">
        <w:rPr>
          <w:rFonts w:ascii="宋体" w:eastAsia="宋体" w:hAnsi="宋体" w:cs="宋体"/>
          <w:sz w:val="18"/>
          <w:szCs w:val="18"/>
        </w:rPr>
        <w:t>3,750.00</w:t>
      </w:r>
      <w:r w:rsidRPr="00FC6EB6">
        <w:rPr>
          <w:rFonts w:ascii="宋体" w:eastAsia="宋体" w:hAnsi="宋体" w:cs="宋体" w:hint="eastAsia"/>
          <w:sz w:val="18"/>
          <w:szCs w:val="18"/>
        </w:rPr>
        <w:t>万份权益。其中，确定对官</w:t>
      </w:r>
      <w:proofErr w:type="gramStart"/>
      <w:r w:rsidRPr="00FC6EB6">
        <w:rPr>
          <w:rFonts w:ascii="宋体" w:eastAsia="宋体" w:hAnsi="宋体" w:cs="宋体" w:hint="eastAsia"/>
          <w:sz w:val="18"/>
          <w:szCs w:val="18"/>
        </w:rPr>
        <w:t>炳</w:t>
      </w:r>
      <w:proofErr w:type="gramEnd"/>
      <w:r w:rsidRPr="00FC6EB6">
        <w:rPr>
          <w:rFonts w:ascii="宋体" w:eastAsia="宋体" w:hAnsi="宋体" w:cs="宋体" w:hint="eastAsia"/>
          <w:sz w:val="18"/>
          <w:szCs w:val="18"/>
        </w:rPr>
        <w:t>政、张垚、杨慧丽等</w:t>
      </w:r>
      <w:r w:rsidRPr="00FC6EB6">
        <w:rPr>
          <w:rFonts w:ascii="宋体" w:eastAsia="宋体" w:hAnsi="宋体" w:cs="宋体"/>
          <w:sz w:val="18"/>
          <w:szCs w:val="18"/>
        </w:rPr>
        <w:t>51</w:t>
      </w:r>
      <w:r w:rsidRPr="00FC6EB6">
        <w:rPr>
          <w:rFonts w:ascii="宋体" w:eastAsia="宋体" w:hAnsi="宋体" w:cs="宋体" w:hint="eastAsia"/>
          <w:sz w:val="18"/>
          <w:szCs w:val="18"/>
        </w:rPr>
        <w:t>名参加对象授予</w:t>
      </w:r>
      <w:r w:rsidRPr="00FC6EB6">
        <w:rPr>
          <w:rFonts w:ascii="宋体" w:eastAsia="宋体" w:hAnsi="宋体" w:cs="宋体"/>
          <w:sz w:val="18"/>
          <w:szCs w:val="18"/>
        </w:rPr>
        <w:t>3,750</w:t>
      </w:r>
      <w:r w:rsidRPr="00FC6EB6">
        <w:rPr>
          <w:rFonts w:ascii="宋体" w:eastAsia="宋体" w:hAnsi="宋体" w:cs="宋体" w:hint="eastAsia"/>
          <w:sz w:val="18"/>
          <w:szCs w:val="18"/>
        </w:rPr>
        <w:t>万股限制性股票，本次实际</w:t>
      </w:r>
      <w:r w:rsidRPr="00FC6EB6">
        <w:rPr>
          <w:rFonts w:ascii="宋体" w:eastAsia="宋体" w:hAnsi="宋体" w:cs="宋体"/>
          <w:sz w:val="18"/>
          <w:szCs w:val="18"/>
        </w:rPr>
        <w:t>51</w:t>
      </w:r>
      <w:r w:rsidRPr="00FC6EB6">
        <w:rPr>
          <w:rFonts w:ascii="宋体" w:eastAsia="宋体" w:hAnsi="宋体" w:cs="宋体" w:hint="eastAsia"/>
          <w:sz w:val="18"/>
          <w:szCs w:val="18"/>
        </w:rPr>
        <w:t>名参加对象认购</w:t>
      </w:r>
      <w:r w:rsidRPr="00FC6EB6">
        <w:rPr>
          <w:rFonts w:ascii="宋体" w:eastAsia="宋体" w:hAnsi="宋体" w:cs="宋体"/>
          <w:sz w:val="18"/>
          <w:szCs w:val="18"/>
        </w:rPr>
        <w:t>37,500,000</w:t>
      </w:r>
      <w:r w:rsidRPr="00FC6EB6">
        <w:rPr>
          <w:rFonts w:ascii="宋体" w:eastAsia="宋体" w:hAnsi="宋体" w:cs="宋体" w:hint="eastAsia"/>
          <w:sz w:val="18"/>
          <w:szCs w:val="18"/>
        </w:rPr>
        <w:t>股限制性股票，股票面值</w:t>
      </w:r>
      <w:r w:rsidRPr="00FC6EB6">
        <w:rPr>
          <w:rFonts w:ascii="宋体" w:eastAsia="宋体" w:hAnsi="宋体" w:cs="宋体"/>
          <w:sz w:val="18"/>
          <w:szCs w:val="18"/>
        </w:rPr>
        <w:t>1</w:t>
      </w:r>
      <w:r w:rsidRPr="00FC6EB6">
        <w:rPr>
          <w:rFonts w:ascii="宋体" w:eastAsia="宋体" w:hAnsi="宋体" w:cs="宋体" w:hint="eastAsia"/>
          <w:sz w:val="18"/>
          <w:szCs w:val="18"/>
        </w:rPr>
        <w:t>元，认购价格为</w:t>
      </w:r>
      <w:r w:rsidRPr="00FC6EB6">
        <w:rPr>
          <w:rFonts w:ascii="宋体" w:eastAsia="宋体" w:hAnsi="宋体" w:cs="宋体"/>
          <w:sz w:val="18"/>
          <w:szCs w:val="18"/>
        </w:rPr>
        <w:t>4.00</w:t>
      </w:r>
      <w:r w:rsidRPr="00FC6EB6">
        <w:rPr>
          <w:rFonts w:ascii="宋体" w:eastAsia="宋体" w:hAnsi="宋体" w:cs="宋体" w:hint="eastAsia"/>
          <w:sz w:val="18"/>
          <w:szCs w:val="18"/>
        </w:rPr>
        <w:t>元</w:t>
      </w:r>
      <w:r w:rsidRPr="00FC6EB6">
        <w:rPr>
          <w:rFonts w:ascii="宋体" w:eastAsia="宋体" w:hAnsi="宋体" w:cs="宋体"/>
          <w:sz w:val="18"/>
          <w:szCs w:val="18"/>
        </w:rPr>
        <w:t>/</w:t>
      </w:r>
      <w:r w:rsidRPr="00FC6EB6">
        <w:rPr>
          <w:rFonts w:ascii="宋体" w:eastAsia="宋体" w:hAnsi="宋体" w:cs="宋体" w:hint="eastAsia"/>
          <w:sz w:val="18"/>
          <w:szCs w:val="18"/>
        </w:rPr>
        <w:t>股，认缴股款人民币</w:t>
      </w:r>
      <w:r w:rsidRPr="00FC6EB6">
        <w:rPr>
          <w:rFonts w:ascii="宋体" w:eastAsia="宋体" w:hAnsi="宋体" w:cs="宋体"/>
          <w:sz w:val="18"/>
          <w:szCs w:val="18"/>
        </w:rPr>
        <w:t>150,000,000.00</w:t>
      </w:r>
      <w:r w:rsidRPr="00FC6EB6">
        <w:rPr>
          <w:rFonts w:ascii="宋体" w:eastAsia="宋体" w:hAnsi="宋体" w:cs="宋体" w:hint="eastAsia"/>
          <w:sz w:val="18"/>
          <w:szCs w:val="18"/>
        </w:rPr>
        <w:t>元，资本溢价（股本溢价）增加额为</w:t>
      </w:r>
      <w:r w:rsidRPr="00FC6EB6">
        <w:rPr>
          <w:rFonts w:ascii="宋体" w:eastAsia="宋体" w:hAnsi="宋体" w:cs="宋体"/>
          <w:sz w:val="18"/>
          <w:szCs w:val="18"/>
        </w:rPr>
        <w:t>112,500,000.00</w:t>
      </w:r>
      <w:r w:rsidRPr="00FC6EB6">
        <w:rPr>
          <w:rFonts w:ascii="宋体" w:eastAsia="宋体" w:hAnsi="宋体" w:cs="宋体" w:hint="eastAsia"/>
          <w:sz w:val="18"/>
          <w:szCs w:val="18"/>
        </w:rPr>
        <w:t>元，本期该笔以权益结算的股份支付确认的费用总额</w:t>
      </w:r>
      <w:r w:rsidRPr="00FC6EB6">
        <w:rPr>
          <w:rFonts w:ascii="宋体" w:eastAsia="宋体" w:hAnsi="宋体" w:cs="宋体"/>
          <w:sz w:val="18"/>
          <w:szCs w:val="18"/>
        </w:rPr>
        <w:t>28,945,312.50</w:t>
      </w:r>
      <w:r w:rsidRPr="00FC6EB6">
        <w:rPr>
          <w:rFonts w:ascii="宋体" w:eastAsia="宋体" w:hAnsi="宋体" w:cs="宋体" w:hint="eastAsia"/>
          <w:sz w:val="18"/>
          <w:szCs w:val="18"/>
        </w:rPr>
        <w:t>元。</w:t>
      </w:r>
    </w:p>
    <w:p w:rsidR="008D4B2E" w:rsidRPr="00FC6EB6" w:rsidRDefault="008D4B2E" w:rsidP="00AA53DA">
      <w:pPr>
        <w:ind w:firstLineChars="200" w:firstLine="360"/>
        <w:divId w:val="456333119"/>
        <w:rPr>
          <w:rFonts w:ascii="宋体" w:eastAsia="宋体" w:hAnsi="宋体" w:cs="宋体"/>
          <w:sz w:val="18"/>
          <w:szCs w:val="18"/>
        </w:rPr>
      </w:pPr>
      <w:r w:rsidRPr="00FC6EB6">
        <w:rPr>
          <w:rFonts w:ascii="宋体" w:eastAsia="宋体" w:hAnsi="宋体" w:cs="宋体" w:hint="eastAsia"/>
          <w:sz w:val="18"/>
          <w:szCs w:val="18"/>
        </w:rPr>
        <w:t>⑤根据关于软控（诸暨）智能装备有限公司部分股权转让协议，“股东软控股份有限公司以总计19,209万元的价格收购诸暨市高盈股权投资合伙企业（有限合伙）持有的软控（诸暨）智能装备有限公司48.9913%股权”。收购后对子公司软控（诸暨）智能装备有限公司持股比例变为100%，本次收购事项冲减资本公积（股本溢价）1,683,126.28元。</w:t>
      </w:r>
    </w:p>
    <w:p w:rsidR="008D4B2E" w:rsidRPr="00FC6EB6" w:rsidRDefault="008D4B2E" w:rsidP="00AA53DA">
      <w:pPr>
        <w:divId w:val="456333119"/>
        <w:rPr>
          <w:rFonts w:ascii="宋体" w:eastAsia="宋体" w:hAnsi="宋体" w:cs="宋体"/>
          <w:sz w:val="18"/>
          <w:szCs w:val="18"/>
        </w:rPr>
      </w:pPr>
      <w:r w:rsidRPr="00FC6EB6">
        <w:rPr>
          <w:rFonts w:ascii="宋体" w:eastAsia="宋体" w:hAnsi="宋体" w:cs="宋体" w:hint="eastAsia"/>
          <w:sz w:val="18"/>
          <w:szCs w:val="18"/>
        </w:rPr>
        <w:t>根据《企业会计准则第33号—合并财务报表》第四十七条规定：母公司购买子公司少数股东拥有的子公司股权，在合并财务报表中，因购买少数股权新取得的长期股权投资与按照新增持股比例计算应享有子公司自购买日或</w:t>
      </w:r>
      <w:proofErr w:type="gramStart"/>
      <w:r w:rsidRPr="00FC6EB6">
        <w:rPr>
          <w:rFonts w:ascii="宋体" w:eastAsia="宋体" w:hAnsi="宋体" w:cs="宋体" w:hint="eastAsia"/>
          <w:sz w:val="18"/>
          <w:szCs w:val="18"/>
        </w:rPr>
        <w:t>合并日</w:t>
      </w:r>
      <w:proofErr w:type="gramEnd"/>
      <w:r w:rsidRPr="00FC6EB6">
        <w:rPr>
          <w:rFonts w:ascii="宋体" w:eastAsia="宋体" w:hAnsi="宋体" w:cs="宋体" w:hint="eastAsia"/>
          <w:sz w:val="18"/>
          <w:szCs w:val="18"/>
        </w:rPr>
        <w:t>开始持续计算的净资产份额之间的差额，应当调整资本公积（资本溢价或股本溢价），资本公</w:t>
      </w:r>
      <w:proofErr w:type="gramStart"/>
      <w:r w:rsidRPr="00FC6EB6">
        <w:rPr>
          <w:rFonts w:ascii="宋体" w:eastAsia="宋体" w:hAnsi="宋体" w:cs="宋体" w:hint="eastAsia"/>
          <w:sz w:val="18"/>
          <w:szCs w:val="18"/>
        </w:rPr>
        <w:t>积不足</w:t>
      </w:r>
      <w:proofErr w:type="gramEnd"/>
      <w:r w:rsidRPr="00FC6EB6">
        <w:rPr>
          <w:rFonts w:ascii="宋体" w:eastAsia="宋体" w:hAnsi="宋体" w:cs="宋体" w:hint="eastAsia"/>
          <w:sz w:val="18"/>
          <w:szCs w:val="18"/>
        </w:rPr>
        <w:t>冲减的，调整留存收益。</w:t>
      </w:r>
    </w:p>
    <w:p w:rsidR="00BA0365" w:rsidRDefault="008D4B2E">
      <w:pPr>
        <w:pStyle w:val="3"/>
        <w:spacing w:line="280" w:lineRule="exact"/>
        <w:jc w:val="left"/>
        <w:rPr>
          <w:rFonts w:ascii="宋体" w:hAnsi="宋体" w:cs="宋体"/>
          <w:b/>
          <w:bCs/>
        </w:rPr>
      </w:pPr>
      <w:bookmarkStart w:id="317" w:name="_Toc989208"/>
      <w:r>
        <w:rPr>
          <w:rFonts w:ascii="宋体" w:hAnsi="宋体" w:cs="宋体"/>
          <w:b/>
          <w:bCs/>
        </w:rPr>
        <w:t>37、库存股</w:t>
      </w:r>
      <w:bookmarkEnd w:id="31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库存股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40,307,696.00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91,439,200.00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150,000,000.00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40,307,696.00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201,131,504.00</w:t>
            </w:r>
          </w:p>
        </w:tc>
      </w:tr>
    </w:tbl>
    <w:p w:rsidR="00BA0365" w:rsidRDefault="008D4B2E" w:rsidP="00AA53DA">
      <w:pPr>
        <w:ind w:firstLineChars="200" w:firstLine="360"/>
        <w:rPr>
          <w:rFonts w:ascii="宋体" w:eastAsia="宋体" w:hAnsi="宋体" w:cs="宋体"/>
          <w:sz w:val="18"/>
          <w:szCs w:val="18"/>
        </w:rPr>
      </w:pPr>
      <w:r>
        <w:rPr>
          <w:rFonts w:ascii="宋体" w:eastAsia="宋体" w:hAnsi="宋体" w:cs="宋体"/>
          <w:sz w:val="18"/>
          <w:szCs w:val="18"/>
        </w:rPr>
        <w:t>其他说明，包括本期增减变动情况、变动原因说明：</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hint="eastAsia"/>
          <w:sz w:val="18"/>
          <w:szCs w:val="18"/>
        </w:rPr>
        <w:t>①根据公司《关于</w:t>
      </w:r>
      <w:r w:rsidRPr="001112C2">
        <w:rPr>
          <w:rFonts w:ascii="宋体" w:eastAsia="宋体" w:hAnsi="宋体" w:cs="宋体"/>
          <w:sz w:val="18"/>
          <w:szCs w:val="18"/>
        </w:rPr>
        <w:t>〈2021</w:t>
      </w:r>
      <w:r w:rsidRPr="001112C2">
        <w:rPr>
          <w:rFonts w:ascii="宋体" w:eastAsia="宋体" w:hAnsi="宋体" w:cs="宋体" w:hint="eastAsia"/>
          <w:sz w:val="18"/>
          <w:szCs w:val="18"/>
        </w:rPr>
        <w:t>年限制性股票激励计划（草案）</w:t>
      </w:r>
      <w:r w:rsidRPr="001112C2">
        <w:rPr>
          <w:rFonts w:ascii="宋体" w:eastAsia="宋体" w:hAnsi="宋体" w:cs="宋体"/>
          <w:sz w:val="18"/>
          <w:szCs w:val="18"/>
        </w:rPr>
        <w:t>〉</w:t>
      </w:r>
      <w:r w:rsidRPr="001112C2">
        <w:rPr>
          <w:rFonts w:ascii="宋体" w:eastAsia="宋体" w:hAnsi="宋体" w:cs="宋体" w:hint="eastAsia"/>
          <w:sz w:val="18"/>
          <w:szCs w:val="18"/>
        </w:rPr>
        <w:t>及其摘要的议案》的规定，确定对官</w:t>
      </w:r>
      <w:proofErr w:type="gramStart"/>
      <w:r w:rsidRPr="001112C2">
        <w:rPr>
          <w:rFonts w:ascii="宋体" w:eastAsia="宋体" w:hAnsi="宋体" w:cs="宋体" w:hint="eastAsia"/>
          <w:sz w:val="18"/>
          <w:szCs w:val="18"/>
        </w:rPr>
        <w:t>炳</w:t>
      </w:r>
      <w:proofErr w:type="gramEnd"/>
      <w:r w:rsidRPr="001112C2">
        <w:rPr>
          <w:rFonts w:ascii="宋体" w:eastAsia="宋体" w:hAnsi="宋体" w:cs="宋体" w:hint="eastAsia"/>
          <w:sz w:val="18"/>
          <w:szCs w:val="18"/>
        </w:rPr>
        <w:t>政、杨慧丽、张垚等</w:t>
      </w:r>
      <w:r w:rsidRPr="001112C2">
        <w:rPr>
          <w:rFonts w:ascii="宋体" w:eastAsia="宋体" w:hAnsi="宋体" w:cs="宋体"/>
          <w:sz w:val="18"/>
          <w:szCs w:val="18"/>
        </w:rPr>
        <w:t>20</w:t>
      </w:r>
      <w:r w:rsidRPr="001112C2">
        <w:rPr>
          <w:rFonts w:ascii="宋体" w:eastAsia="宋体" w:hAnsi="宋体" w:cs="宋体" w:hint="eastAsia"/>
          <w:sz w:val="18"/>
          <w:szCs w:val="18"/>
        </w:rPr>
        <w:t>名参加对象授予</w:t>
      </w:r>
      <w:r w:rsidRPr="001112C2">
        <w:rPr>
          <w:rFonts w:ascii="宋体" w:eastAsia="宋体" w:hAnsi="宋体" w:cs="宋体"/>
          <w:sz w:val="18"/>
          <w:szCs w:val="18"/>
        </w:rPr>
        <w:t>1,960</w:t>
      </w:r>
      <w:r w:rsidRPr="001112C2">
        <w:rPr>
          <w:rFonts w:ascii="宋体" w:eastAsia="宋体" w:hAnsi="宋体" w:cs="宋体" w:hint="eastAsia"/>
          <w:sz w:val="18"/>
          <w:szCs w:val="18"/>
        </w:rPr>
        <w:t>万股限制性股票，本次实际</w:t>
      </w:r>
      <w:r w:rsidRPr="001112C2">
        <w:rPr>
          <w:rFonts w:ascii="宋体" w:eastAsia="宋体" w:hAnsi="宋体" w:cs="宋体"/>
          <w:sz w:val="18"/>
          <w:szCs w:val="18"/>
        </w:rPr>
        <w:t>20</w:t>
      </w:r>
      <w:r w:rsidRPr="001112C2">
        <w:rPr>
          <w:rFonts w:ascii="宋体" w:eastAsia="宋体" w:hAnsi="宋体" w:cs="宋体" w:hint="eastAsia"/>
          <w:sz w:val="18"/>
          <w:szCs w:val="18"/>
        </w:rPr>
        <w:t>名参加对象认购</w:t>
      </w:r>
      <w:r w:rsidRPr="001112C2">
        <w:rPr>
          <w:rFonts w:ascii="宋体" w:eastAsia="宋体" w:hAnsi="宋体" w:cs="宋体"/>
          <w:sz w:val="18"/>
          <w:szCs w:val="18"/>
        </w:rPr>
        <w:t>19,600,000</w:t>
      </w:r>
      <w:r w:rsidRPr="001112C2">
        <w:rPr>
          <w:rFonts w:ascii="宋体" w:eastAsia="宋体" w:hAnsi="宋体" w:cs="宋体" w:hint="eastAsia"/>
          <w:sz w:val="18"/>
          <w:szCs w:val="18"/>
        </w:rPr>
        <w:t>股限制性股票，股票面值</w:t>
      </w:r>
      <w:r w:rsidRPr="001112C2">
        <w:rPr>
          <w:rFonts w:ascii="宋体" w:eastAsia="宋体" w:hAnsi="宋体" w:cs="宋体"/>
          <w:sz w:val="18"/>
          <w:szCs w:val="18"/>
        </w:rPr>
        <w:t>1</w:t>
      </w:r>
      <w:r w:rsidRPr="001112C2">
        <w:rPr>
          <w:rFonts w:ascii="宋体" w:eastAsia="宋体" w:hAnsi="宋体" w:cs="宋体" w:hint="eastAsia"/>
          <w:sz w:val="18"/>
          <w:szCs w:val="18"/>
        </w:rPr>
        <w:t>元，认购价格为</w:t>
      </w:r>
      <w:r w:rsidRPr="001112C2">
        <w:rPr>
          <w:rFonts w:ascii="宋体" w:eastAsia="宋体" w:hAnsi="宋体" w:cs="宋体"/>
          <w:sz w:val="18"/>
          <w:szCs w:val="18"/>
        </w:rPr>
        <w:t>2.55</w:t>
      </w:r>
      <w:r w:rsidRPr="001112C2">
        <w:rPr>
          <w:rFonts w:ascii="宋体" w:eastAsia="宋体" w:hAnsi="宋体" w:cs="宋体" w:hint="eastAsia"/>
          <w:sz w:val="18"/>
          <w:szCs w:val="18"/>
        </w:rPr>
        <w:t>元</w:t>
      </w:r>
      <w:r w:rsidRPr="001112C2">
        <w:rPr>
          <w:rFonts w:ascii="宋体" w:eastAsia="宋体" w:hAnsi="宋体" w:cs="宋体"/>
          <w:sz w:val="18"/>
          <w:szCs w:val="18"/>
        </w:rPr>
        <w:t>/</w:t>
      </w:r>
      <w:r w:rsidRPr="001112C2">
        <w:rPr>
          <w:rFonts w:ascii="宋体" w:eastAsia="宋体" w:hAnsi="宋体" w:cs="宋体" w:hint="eastAsia"/>
          <w:sz w:val="18"/>
          <w:szCs w:val="18"/>
        </w:rPr>
        <w:t>股。该员工持股计划业绩已达到第二期限制性股票解锁条件，因此本期冲回已确认库存股</w:t>
      </w:r>
      <w:r w:rsidRPr="001112C2">
        <w:rPr>
          <w:rFonts w:ascii="宋体" w:eastAsia="宋体" w:hAnsi="宋体" w:cs="宋体"/>
          <w:sz w:val="18"/>
          <w:szCs w:val="18"/>
        </w:rPr>
        <w:t>14,994,000.00</w:t>
      </w:r>
      <w:r w:rsidRPr="001112C2">
        <w:rPr>
          <w:rFonts w:ascii="宋体" w:eastAsia="宋体" w:hAnsi="宋体" w:cs="宋体" w:hint="eastAsia"/>
          <w:sz w:val="18"/>
          <w:szCs w:val="18"/>
        </w:rPr>
        <w:t>元。</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hint="eastAsia"/>
          <w:sz w:val="18"/>
          <w:szCs w:val="18"/>
        </w:rPr>
        <w:t>②根据公司《关于</w:t>
      </w:r>
      <w:r w:rsidRPr="001112C2">
        <w:rPr>
          <w:rFonts w:ascii="宋体" w:eastAsia="宋体" w:hAnsi="宋体" w:cs="宋体"/>
          <w:sz w:val="18"/>
          <w:szCs w:val="18"/>
        </w:rPr>
        <w:t>〈</w:t>
      </w:r>
      <w:r w:rsidRPr="001112C2">
        <w:rPr>
          <w:rFonts w:ascii="宋体" w:eastAsia="宋体" w:hAnsi="宋体" w:cs="宋体" w:hint="eastAsia"/>
          <w:sz w:val="18"/>
          <w:szCs w:val="18"/>
        </w:rPr>
        <w:t>软控股份有限公司</w:t>
      </w:r>
      <w:r w:rsidRPr="001112C2">
        <w:rPr>
          <w:rFonts w:ascii="宋体" w:eastAsia="宋体" w:hAnsi="宋体" w:cs="宋体"/>
          <w:sz w:val="18"/>
          <w:szCs w:val="18"/>
        </w:rPr>
        <w:t>2022</w:t>
      </w:r>
      <w:r w:rsidRPr="001112C2">
        <w:rPr>
          <w:rFonts w:ascii="宋体" w:eastAsia="宋体" w:hAnsi="宋体" w:cs="宋体" w:hint="eastAsia"/>
          <w:sz w:val="18"/>
          <w:szCs w:val="18"/>
        </w:rPr>
        <w:t>年股票期权与限制性股票激励计划（草案）</w:t>
      </w:r>
      <w:r w:rsidRPr="001112C2">
        <w:rPr>
          <w:rFonts w:ascii="宋体" w:eastAsia="宋体" w:hAnsi="宋体" w:cs="宋体"/>
          <w:sz w:val="18"/>
          <w:szCs w:val="18"/>
        </w:rPr>
        <w:t>〉</w:t>
      </w:r>
      <w:r w:rsidRPr="001112C2">
        <w:rPr>
          <w:rFonts w:ascii="宋体" w:eastAsia="宋体" w:hAnsi="宋体" w:cs="宋体" w:hint="eastAsia"/>
          <w:sz w:val="18"/>
          <w:szCs w:val="18"/>
        </w:rPr>
        <w:t>及其摘要的议案》的规定，确定向符合激励计划的激励对象授予总计</w:t>
      </w:r>
      <w:r w:rsidRPr="001112C2">
        <w:rPr>
          <w:rFonts w:ascii="宋体" w:eastAsia="宋体" w:hAnsi="宋体" w:cs="宋体"/>
          <w:sz w:val="18"/>
          <w:szCs w:val="18"/>
        </w:rPr>
        <w:t>3,980.00</w:t>
      </w:r>
      <w:r w:rsidRPr="001112C2">
        <w:rPr>
          <w:rFonts w:ascii="宋体" w:eastAsia="宋体" w:hAnsi="宋体" w:cs="宋体" w:hint="eastAsia"/>
          <w:sz w:val="18"/>
          <w:szCs w:val="18"/>
        </w:rPr>
        <w:t>万份权益。其中，确定对官</w:t>
      </w:r>
      <w:proofErr w:type="gramStart"/>
      <w:r w:rsidRPr="001112C2">
        <w:rPr>
          <w:rFonts w:ascii="宋体" w:eastAsia="宋体" w:hAnsi="宋体" w:cs="宋体" w:hint="eastAsia"/>
          <w:sz w:val="18"/>
          <w:szCs w:val="18"/>
        </w:rPr>
        <w:t>炳</w:t>
      </w:r>
      <w:proofErr w:type="gramEnd"/>
      <w:r w:rsidRPr="001112C2">
        <w:rPr>
          <w:rFonts w:ascii="宋体" w:eastAsia="宋体" w:hAnsi="宋体" w:cs="宋体" w:hint="eastAsia"/>
          <w:sz w:val="18"/>
          <w:szCs w:val="18"/>
        </w:rPr>
        <w:t>政、张垚、杨慧丽等</w:t>
      </w:r>
      <w:r w:rsidRPr="001112C2">
        <w:rPr>
          <w:rFonts w:ascii="宋体" w:eastAsia="宋体" w:hAnsi="宋体" w:cs="宋体"/>
          <w:sz w:val="18"/>
          <w:szCs w:val="18"/>
        </w:rPr>
        <w:t>251</w:t>
      </w:r>
      <w:r w:rsidRPr="001112C2">
        <w:rPr>
          <w:rFonts w:ascii="宋体" w:eastAsia="宋体" w:hAnsi="宋体" w:cs="宋体" w:hint="eastAsia"/>
          <w:sz w:val="18"/>
          <w:szCs w:val="18"/>
        </w:rPr>
        <w:t>名激励对象授予</w:t>
      </w:r>
      <w:r w:rsidRPr="001112C2">
        <w:rPr>
          <w:rFonts w:ascii="宋体" w:eastAsia="宋体" w:hAnsi="宋体" w:cs="宋体"/>
          <w:sz w:val="18"/>
          <w:szCs w:val="18"/>
        </w:rPr>
        <w:t>2388</w:t>
      </w:r>
      <w:r w:rsidRPr="001112C2">
        <w:rPr>
          <w:rFonts w:ascii="宋体" w:eastAsia="宋体" w:hAnsi="宋体" w:cs="宋体" w:hint="eastAsia"/>
          <w:sz w:val="18"/>
          <w:szCs w:val="18"/>
        </w:rPr>
        <w:t>万份股票期权，期权行权价格为</w:t>
      </w:r>
      <w:r w:rsidRPr="001112C2">
        <w:rPr>
          <w:rFonts w:ascii="宋体" w:eastAsia="宋体" w:hAnsi="宋体" w:cs="宋体"/>
          <w:sz w:val="18"/>
          <w:szCs w:val="18"/>
        </w:rPr>
        <w:t>6.17</w:t>
      </w:r>
      <w:r w:rsidRPr="001112C2">
        <w:rPr>
          <w:rFonts w:ascii="宋体" w:eastAsia="宋体" w:hAnsi="宋体" w:cs="宋体" w:hint="eastAsia"/>
          <w:sz w:val="18"/>
          <w:szCs w:val="18"/>
        </w:rPr>
        <w:t>元</w:t>
      </w:r>
      <w:r w:rsidRPr="001112C2">
        <w:rPr>
          <w:rFonts w:ascii="宋体" w:eastAsia="宋体" w:hAnsi="宋体" w:cs="宋体"/>
          <w:sz w:val="18"/>
          <w:szCs w:val="18"/>
        </w:rPr>
        <w:t>/</w:t>
      </w:r>
      <w:r w:rsidRPr="001112C2">
        <w:rPr>
          <w:rFonts w:ascii="宋体" w:eastAsia="宋体" w:hAnsi="宋体" w:cs="宋体" w:hint="eastAsia"/>
          <w:sz w:val="18"/>
          <w:szCs w:val="18"/>
        </w:rPr>
        <w:t>股；确定对官</w:t>
      </w:r>
      <w:proofErr w:type="gramStart"/>
      <w:r w:rsidRPr="001112C2">
        <w:rPr>
          <w:rFonts w:ascii="宋体" w:eastAsia="宋体" w:hAnsi="宋体" w:cs="宋体" w:hint="eastAsia"/>
          <w:sz w:val="18"/>
          <w:szCs w:val="18"/>
        </w:rPr>
        <w:t>炳</w:t>
      </w:r>
      <w:proofErr w:type="gramEnd"/>
      <w:r w:rsidRPr="001112C2">
        <w:rPr>
          <w:rFonts w:ascii="宋体" w:eastAsia="宋体" w:hAnsi="宋体" w:cs="宋体" w:hint="eastAsia"/>
          <w:sz w:val="18"/>
          <w:szCs w:val="18"/>
        </w:rPr>
        <w:t>政、张垚、杨慧丽等</w:t>
      </w:r>
      <w:r w:rsidRPr="001112C2">
        <w:rPr>
          <w:rFonts w:ascii="宋体" w:eastAsia="宋体" w:hAnsi="宋体" w:cs="宋体"/>
          <w:sz w:val="18"/>
          <w:szCs w:val="18"/>
        </w:rPr>
        <w:t>245</w:t>
      </w:r>
      <w:r w:rsidRPr="001112C2">
        <w:rPr>
          <w:rFonts w:ascii="宋体" w:eastAsia="宋体" w:hAnsi="宋体" w:cs="宋体" w:hint="eastAsia"/>
          <w:sz w:val="18"/>
          <w:szCs w:val="18"/>
        </w:rPr>
        <w:t>名参加对象授予</w:t>
      </w:r>
      <w:r w:rsidRPr="001112C2">
        <w:rPr>
          <w:rFonts w:ascii="宋体" w:eastAsia="宋体" w:hAnsi="宋体" w:cs="宋体"/>
          <w:sz w:val="18"/>
          <w:szCs w:val="18"/>
        </w:rPr>
        <w:t>1,592</w:t>
      </w:r>
      <w:r w:rsidRPr="001112C2">
        <w:rPr>
          <w:rFonts w:ascii="宋体" w:eastAsia="宋体" w:hAnsi="宋体" w:cs="宋体" w:hint="eastAsia"/>
          <w:sz w:val="18"/>
          <w:szCs w:val="18"/>
        </w:rPr>
        <w:t>万股限制性股票，本次实际</w:t>
      </w:r>
      <w:r w:rsidRPr="001112C2">
        <w:rPr>
          <w:rFonts w:ascii="宋体" w:eastAsia="宋体" w:hAnsi="宋体" w:cs="宋体"/>
          <w:sz w:val="18"/>
          <w:szCs w:val="18"/>
        </w:rPr>
        <w:t>245</w:t>
      </w:r>
      <w:r w:rsidRPr="001112C2">
        <w:rPr>
          <w:rFonts w:ascii="宋体" w:eastAsia="宋体" w:hAnsi="宋体" w:cs="宋体" w:hint="eastAsia"/>
          <w:sz w:val="18"/>
          <w:szCs w:val="18"/>
        </w:rPr>
        <w:t>名参加对象认购</w:t>
      </w:r>
      <w:r w:rsidRPr="001112C2">
        <w:rPr>
          <w:rFonts w:ascii="宋体" w:eastAsia="宋体" w:hAnsi="宋体" w:cs="宋体"/>
          <w:sz w:val="18"/>
          <w:szCs w:val="18"/>
        </w:rPr>
        <w:t>15,920,000</w:t>
      </w:r>
      <w:r w:rsidRPr="001112C2">
        <w:rPr>
          <w:rFonts w:ascii="宋体" w:eastAsia="宋体" w:hAnsi="宋体" w:cs="宋体" w:hint="eastAsia"/>
          <w:sz w:val="18"/>
          <w:szCs w:val="18"/>
        </w:rPr>
        <w:t>股限制性股票，股票面值</w:t>
      </w:r>
      <w:r w:rsidRPr="001112C2">
        <w:rPr>
          <w:rFonts w:ascii="宋体" w:eastAsia="宋体" w:hAnsi="宋体" w:cs="宋体"/>
          <w:sz w:val="18"/>
          <w:szCs w:val="18"/>
        </w:rPr>
        <w:t>1</w:t>
      </w:r>
      <w:r w:rsidRPr="001112C2">
        <w:rPr>
          <w:rFonts w:ascii="宋体" w:eastAsia="宋体" w:hAnsi="宋体" w:cs="宋体" w:hint="eastAsia"/>
          <w:sz w:val="18"/>
          <w:szCs w:val="18"/>
        </w:rPr>
        <w:t>元，认购价格为</w:t>
      </w:r>
      <w:r w:rsidRPr="001112C2">
        <w:rPr>
          <w:rFonts w:ascii="宋体" w:eastAsia="宋体" w:hAnsi="宋体" w:cs="宋体"/>
          <w:sz w:val="18"/>
          <w:szCs w:val="18"/>
        </w:rPr>
        <w:t>3.86</w:t>
      </w:r>
      <w:r w:rsidRPr="001112C2">
        <w:rPr>
          <w:rFonts w:ascii="宋体" w:eastAsia="宋体" w:hAnsi="宋体" w:cs="宋体" w:hint="eastAsia"/>
          <w:sz w:val="18"/>
          <w:szCs w:val="18"/>
        </w:rPr>
        <w:t>元</w:t>
      </w:r>
      <w:r w:rsidRPr="001112C2">
        <w:rPr>
          <w:rFonts w:ascii="宋体" w:eastAsia="宋体" w:hAnsi="宋体" w:cs="宋体"/>
          <w:sz w:val="18"/>
          <w:szCs w:val="18"/>
        </w:rPr>
        <w:t>/</w:t>
      </w:r>
      <w:r w:rsidRPr="001112C2">
        <w:rPr>
          <w:rFonts w:ascii="宋体" w:eastAsia="宋体" w:hAnsi="宋体" w:cs="宋体" w:hint="eastAsia"/>
          <w:sz w:val="18"/>
          <w:szCs w:val="18"/>
        </w:rPr>
        <w:t>股。</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sz w:val="18"/>
          <w:szCs w:val="18"/>
        </w:rPr>
        <w:t>2023</w:t>
      </w:r>
      <w:r w:rsidRPr="001112C2">
        <w:rPr>
          <w:rFonts w:ascii="宋体" w:eastAsia="宋体" w:hAnsi="宋体" w:cs="宋体" w:hint="eastAsia"/>
          <w:sz w:val="18"/>
          <w:szCs w:val="18"/>
        </w:rPr>
        <w:t>年</w:t>
      </w:r>
      <w:r w:rsidRPr="001112C2">
        <w:rPr>
          <w:rFonts w:ascii="宋体" w:eastAsia="宋体" w:hAnsi="宋体" w:cs="宋体"/>
          <w:sz w:val="18"/>
          <w:szCs w:val="18"/>
        </w:rPr>
        <w:t>5</w:t>
      </w:r>
      <w:r w:rsidRPr="001112C2">
        <w:rPr>
          <w:rFonts w:ascii="宋体" w:eastAsia="宋体" w:hAnsi="宋体" w:cs="宋体" w:hint="eastAsia"/>
          <w:sz w:val="18"/>
          <w:szCs w:val="18"/>
        </w:rPr>
        <w:t>月</w:t>
      </w:r>
      <w:r w:rsidRPr="001112C2">
        <w:rPr>
          <w:rFonts w:ascii="宋体" w:eastAsia="宋体" w:hAnsi="宋体" w:cs="宋体"/>
          <w:sz w:val="18"/>
          <w:szCs w:val="18"/>
        </w:rPr>
        <w:t>8</w:t>
      </w:r>
      <w:r w:rsidRPr="001112C2">
        <w:rPr>
          <w:rFonts w:ascii="宋体" w:eastAsia="宋体" w:hAnsi="宋体" w:cs="宋体" w:hint="eastAsia"/>
          <w:sz w:val="18"/>
          <w:szCs w:val="18"/>
        </w:rPr>
        <w:t>日召开</w:t>
      </w:r>
      <w:r w:rsidRPr="001112C2">
        <w:rPr>
          <w:rFonts w:ascii="宋体" w:eastAsia="宋体" w:hAnsi="宋体" w:cs="宋体"/>
          <w:sz w:val="18"/>
          <w:szCs w:val="18"/>
        </w:rPr>
        <w:t>2022</w:t>
      </w:r>
      <w:r w:rsidRPr="001112C2">
        <w:rPr>
          <w:rFonts w:ascii="宋体" w:eastAsia="宋体" w:hAnsi="宋体" w:cs="宋体" w:hint="eastAsia"/>
          <w:sz w:val="18"/>
          <w:szCs w:val="18"/>
        </w:rPr>
        <w:t>年度股东大会，审议通过了《关于注销部分股票期权和回购注销部分限制性股票的议案》。确定对</w:t>
      </w:r>
      <w:proofErr w:type="gramStart"/>
      <w:r w:rsidRPr="001112C2">
        <w:rPr>
          <w:rFonts w:ascii="宋体" w:eastAsia="宋体" w:hAnsi="宋体" w:cs="宋体" w:hint="eastAsia"/>
          <w:sz w:val="18"/>
          <w:szCs w:val="18"/>
        </w:rPr>
        <w:t>张颖朝</w:t>
      </w:r>
      <w:proofErr w:type="gramEnd"/>
      <w:r w:rsidRPr="001112C2">
        <w:rPr>
          <w:rFonts w:ascii="宋体" w:eastAsia="宋体" w:hAnsi="宋体" w:cs="宋体"/>
          <w:sz w:val="18"/>
          <w:szCs w:val="18"/>
        </w:rPr>
        <w:t>1</w:t>
      </w:r>
      <w:r w:rsidRPr="001112C2">
        <w:rPr>
          <w:rFonts w:ascii="宋体" w:eastAsia="宋体" w:hAnsi="宋体" w:cs="宋体" w:hint="eastAsia"/>
          <w:sz w:val="18"/>
          <w:szCs w:val="18"/>
        </w:rPr>
        <w:t>人所持</w:t>
      </w:r>
      <w:proofErr w:type="gramStart"/>
      <w:r w:rsidRPr="001112C2">
        <w:rPr>
          <w:rFonts w:ascii="宋体" w:eastAsia="宋体" w:hAnsi="宋体" w:cs="宋体" w:hint="eastAsia"/>
          <w:sz w:val="18"/>
          <w:szCs w:val="18"/>
        </w:rPr>
        <w:t>已获授但尚未</w:t>
      </w:r>
      <w:proofErr w:type="gramEnd"/>
      <w:r w:rsidRPr="001112C2">
        <w:rPr>
          <w:rFonts w:ascii="宋体" w:eastAsia="宋体" w:hAnsi="宋体" w:cs="宋体" w:hint="eastAsia"/>
          <w:sz w:val="18"/>
          <w:szCs w:val="18"/>
        </w:rPr>
        <w:t>解锁的</w:t>
      </w:r>
      <w:r w:rsidRPr="001112C2">
        <w:rPr>
          <w:rFonts w:ascii="宋体" w:eastAsia="宋体" w:hAnsi="宋体" w:cs="宋体"/>
          <w:sz w:val="18"/>
          <w:szCs w:val="18"/>
        </w:rPr>
        <w:t>10,000</w:t>
      </w:r>
      <w:r w:rsidRPr="001112C2">
        <w:rPr>
          <w:rFonts w:ascii="宋体" w:eastAsia="宋体" w:hAnsi="宋体" w:cs="宋体" w:hint="eastAsia"/>
          <w:sz w:val="18"/>
          <w:szCs w:val="18"/>
        </w:rPr>
        <w:t>股限制性股票进行回购注销。冲回库存股</w:t>
      </w:r>
      <w:r w:rsidRPr="001112C2">
        <w:rPr>
          <w:rFonts w:ascii="宋体" w:eastAsia="宋体" w:hAnsi="宋体" w:cs="宋体"/>
          <w:sz w:val="18"/>
          <w:szCs w:val="18"/>
        </w:rPr>
        <w:t>38,600.00</w:t>
      </w:r>
      <w:r w:rsidRPr="001112C2">
        <w:rPr>
          <w:rFonts w:ascii="宋体" w:eastAsia="宋体" w:hAnsi="宋体" w:cs="宋体" w:hint="eastAsia"/>
          <w:sz w:val="18"/>
          <w:szCs w:val="18"/>
        </w:rPr>
        <w:t>元。</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hint="eastAsia"/>
          <w:sz w:val="18"/>
          <w:szCs w:val="18"/>
        </w:rPr>
        <w:t>由于该员工持股计划业绩已达到第一期限制性股票解锁条件，因此本期冲回已确认库存股</w:t>
      </w:r>
      <w:r w:rsidRPr="001112C2">
        <w:rPr>
          <w:rFonts w:ascii="宋体" w:eastAsia="宋体" w:hAnsi="宋体" w:cs="宋体"/>
          <w:sz w:val="18"/>
          <w:szCs w:val="18"/>
        </w:rPr>
        <w:t>24,565,040.00</w:t>
      </w:r>
      <w:r w:rsidRPr="001112C2">
        <w:rPr>
          <w:rFonts w:ascii="宋体" w:eastAsia="宋体" w:hAnsi="宋体" w:cs="宋体" w:hint="eastAsia"/>
          <w:sz w:val="18"/>
          <w:szCs w:val="18"/>
        </w:rPr>
        <w:t>元。</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hint="eastAsia"/>
          <w:sz w:val="18"/>
          <w:szCs w:val="18"/>
        </w:rPr>
        <w:t>③</w:t>
      </w:r>
      <w:r w:rsidRPr="001112C2">
        <w:rPr>
          <w:rFonts w:ascii="宋体" w:eastAsia="宋体" w:hAnsi="宋体" w:cs="宋体"/>
          <w:sz w:val="18"/>
          <w:szCs w:val="18"/>
        </w:rPr>
        <w:t>2023</w:t>
      </w:r>
      <w:r w:rsidRPr="001112C2">
        <w:rPr>
          <w:rFonts w:ascii="宋体" w:eastAsia="宋体" w:hAnsi="宋体" w:cs="宋体" w:hint="eastAsia"/>
          <w:sz w:val="18"/>
          <w:szCs w:val="18"/>
        </w:rPr>
        <w:t>年</w:t>
      </w:r>
      <w:r w:rsidRPr="001112C2">
        <w:rPr>
          <w:rFonts w:ascii="宋体" w:eastAsia="宋体" w:hAnsi="宋体" w:cs="宋体"/>
          <w:sz w:val="18"/>
          <w:szCs w:val="18"/>
        </w:rPr>
        <w:t>5</w:t>
      </w:r>
      <w:r w:rsidRPr="001112C2">
        <w:rPr>
          <w:rFonts w:ascii="宋体" w:eastAsia="宋体" w:hAnsi="宋体" w:cs="宋体" w:hint="eastAsia"/>
          <w:sz w:val="18"/>
          <w:szCs w:val="18"/>
        </w:rPr>
        <w:t>月</w:t>
      </w:r>
      <w:r w:rsidRPr="001112C2">
        <w:rPr>
          <w:rFonts w:ascii="宋体" w:eastAsia="宋体" w:hAnsi="宋体" w:cs="宋体"/>
          <w:sz w:val="18"/>
          <w:szCs w:val="18"/>
        </w:rPr>
        <w:t>8</w:t>
      </w:r>
      <w:r w:rsidRPr="001112C2">
        <w:rPr>
          <w:rFonts w:ascii="宋体" w:eastAsia="宋体" w:hAnsi="宋体" w:cs="宋体" w:hint="eastAsia"/>
          <w:sz w:val="18"/>
          <w:szCs w:val="18"/>
        </w:rPr>
        <w:t>日召开</w:t>
      </w:r>
      <w:r w:rsidRPr="001112C2">
        <w:rPr>
          <w:rFonts w:ascii="宋体" w:eastAsia="宋体" w:hAnsi="宋体" w:cs="宋体"/>
          <w:sz w:val="18"/>
          <w:szCs w:val="18"/>
        </w:rPr>
        <w:t>2022</w:t>
      </w:r>
      <w:r w:rsidRPr="001112C2">
        <w:rPr>
          <w:rFonts w:ascii="宋体" w:eastAsia="宋体" w:hAnsi="宋体" w:cs="宋体" w:hint="eastAsia"/>
          <w:sz w:val="18"/>
          <w:szCs w:val="18"/>
        </w:rPr>
        <w:t>年度股东大会，审议通过了《公司</w:t>
      </w:r>
      <w:r w:rsidRPr="001112C2">
        <w:rPr>
          <w:rFonts w:ascii="宋体" w:eastAsia="宋体" w:hAnsi="宋体" w:cs="宋体"/>
          <w:sz w:val="18"/>
          <w:szCs w:val="18"/>
        </w:rPr>
        <w:t>2022</w:t>
      </w:r>
      <w:r w:rsidRPr="001112C2">
        <w:rPr>
          <w:rFonts w:ascii="宋体" w:eastAsia="宋体" w:hAnsi="宋体" w:cs="宋体" w:hint="eastAsia"/>
          <w:sz w:val="18"/>
          <w:szCs w:val="18"/>
        </w:rPr>
        <w:t>年度利润分配的预案》。以</w:t>
      </w:r>
      <w:r w:rsidRPr="001112C2">
        <w:rPr>
          <w:rFonts w:ascii="宋体" w:eastAsia="宋体" w:hAnsi="宋体" w:cs="宋体"/>
          <w:sz w:val="18"/>
          <w:szCs w:val="18"/>
        </w:rPr>
        <w:t xml:space="preserve"> 2022</w:t>
      </w:r>
      <w:r w:rsidRPr="001112C2">
        <w:rPr>
          <w:rFonts w:ascii="宋体" w:eastAsia="宋体" w:hAnsi="宋体" w:cs="宋体" w:hint="eastAsia"/>
          <w:sz w:val="18"/>
          <w:szCs w:val="18"/>
        </w:rPr>
        <w:t>年</w:t>
      </w:r>
      <w:r w:rsidRPr="001112C2">
        <w:rPr>
          <w:rFonts w:ascii="宋体" w:eastAsia="宋体" w:hAnsi="宋体" w:cs="宋体"/>
          <w:sz w:val="18"/>
          <w:szCs w:val="18"/>
        </w:rPr>
        <w:t>12</w:t>
      </w:r>
      <w:r w:rsidRPr="001112C2">
        <w:rPr>
          <w:rFonts w:ascii="宋体" w:eastAsia="宋体" w:hAnsi="宋体" w:cs="宋体" w:hint="eastAsia"/>
          <w:sz w:val="18"/>
          <w:szCs w:val="18"/>
        </w:rPr>
        <w:t>月</w:t>
      </w:r>
      <w:r w:rsidRPr="001112C2">
        <w:rPr>
          <w:rFonts w:ascii="宋体" w:eastAsia="宋体" w:hAnsi="宋体" w:cs="宋体"/>
          <w:sz w:val="18"/>
          <w:szCs w:val="18"/>
        </w:rPr>
        <w:t>31</w:t>
      </w:r>
      <w:r w:rsidRPr="001112C2">
        <w:rPr>
          <w:rFonts w:ascii="宋体" w:eastAsia="宋体" w:hAnsi="宋体" w:cs="宋体" w:hint="eastAsia"/>
          <w:sz w:val="18"/>
          <w:szCs w:val="18"/>
        </w:rPr>
        <w:t>日的总股本</w:t>
      </w:r>
      <w:r w:rsidRPr="001112C2">
        <w:rPr>
          <w:rFonts w:ascii="宋体" w:eastAsia="宋体" w:hAnsi="宋体" w:cs="宋体"/>
          <w:sz w:val="18"/>
          <w:szCs w:val="18"/>
        </w:rPr>
        <w:t xml:space="preserve">969,506,674 </w:t>
      </w:r>
      <w:r w:rsidRPr="001112C2">
        <w:rPr>
          <w:rFonts w:ascii="宋体" w:eastAsia="宋体" w:hAnsi="宋体" w:cs="宋体" w:hint="eastAsia"/>
          <w:sz w:val="18"/>
          <w:szCs w:val="18"/>
        </w:rPr>
        <w:t>股为基数，向全体股东每</w:t>
      </w:r>
      <w:r w:rsidRPr="001112C2">
        <w:rPr>
          <w:rFonts w:ascii="宋体" w:eastAsia="宋体" w:hAnsi="宋体" w:cs="宋体"/>
          <w:sz w:val="18"/>
          <w:szCs w:val="18"/>
        </w:rPr>
        <w:t>10</w:t>
      </w:r>
      <w:r w:rsidRPr="001112C2">
        <w:rPr>
          <w:rFonts w:ascii="宋体" w:eastAsia="宋体" w:hAnsi="宋体" w:cs="宋体" w:hint="eastAsia"/>
          <w:sz w:val="18"/>
          <w:szCs w:val="18"/>
        </w:rPr>
        <w:t>股派发现金红利</w:t>
      </w:r>
      <w:r w:rsidRPr="001112C2">
        <w:rPr>
          <w:rFonts w:ascii="宋体" w:eastAsia="宋体" w:hAnsi="宋体" w:cs="宋体"/>
          <w:sz w:val="18"/>
          <w:szCs w:val="18"/>
        </w:rPr>
        <w:t xml:space="preserve">0.46 </w:t>
      </w:r>
      <w:r w:rsidRPr="001112C2">
        <w:rPr>
          <w:rFonts w:ascii="宋体" w:eastAsia="宋体" w:hAnsi="宋体" w:cs="宋体" w:hint="eastAsia"/>
          <w:sz w:val="18"/>
          <w:szCs w:val="18"/>
        </w:rPr>
        <w:t>元（含税），不送红股，共派发现金红利</w:t>
      </w:r>
      <w:r w:rsidRPr="001112C2">
        <w:rPr>
          <w:rFonts w:ascii="宋体" w:eastAsia="宋体" w:hAnsi="宋体" w:cs="宋体"/>
          <w:sz w:val="18"/>
          <w:szCs w:val="18"/>
        </w:rPr>
        <w:t>44,597,307.00</w:t>
      </w:r>
      <w:r w:rsidRPr="001112C2">
        <w:rPr>
          <w:rFonts w:ascii="宋体" w:eastAsia="宋体" w:hAnsi="宋体" w:cs="宋体" w:hint="eastAsia"/>
          <w:sz w:val="18"/>
          <w:szCs w:val="18"/>
        </w:rPr>
        <w:t>元。本次限制性股票计提股利冲减库存股</w:t>
      </w:r>
      <w:r w:rsidRPr="001112C2">
        <w:rPr>
          <w:rFonts w:ascii="宋体" w:eastAsia="宋体" w:hAnsi="宋体" w:cs="宋体"/>
          <w:sz w:val="18"/>
          <w:szCs w:val="18"/>
        </w:rPr>
        <w:t>1,273,280.00</w:t>
      </w:r>
      <w:r w:rsidRPr="001112C2">
        <w:rPr>
          <w:rFonts w:ascii="宋体" w:eastAsia="宋体" w:hAnsi="宋体" w:cs="宋体" w:hint="eastAsia"/>
          <w:sz w:val="18"/>
          <w:szCs w:val="18"/>
        </w:rPr>
        <w:t>元，实际行权调整已经确认的股利相应库存股</w:t>
      </w:r>
      <w:r w:rsidRPr="001112C2">
        <w:rPr>
          <w:rFonts w:ascii="宋体" w:eastAsia="宋体" w:hAnsi="宋体" w:cs="宋体"/>
          <w:sz w:val="18"/>
          <w:szCs w:val="18"/>
        </w:rPr>
        <w:t>563,224.00</w:t>
      </w:r>
      <w:r w:rsidRPr="001112C2">
        <w:rPr>
          <w:rFonts w:ascii="宋体" w:eastAsia="宋体" w:hAnsi="宋体" w:cs="宋体" w:hint="eastAsia"/>
          <w:sz w:val="18"/>
          <w:szCs w:val="18"/>
        </w:rPr>
        <w:t>元。</w:t>
      </w:r>
    </w:p>
    <w:p w:rsidR="008D4B2E" w:rsidRPr="001112C2" w:rsidRDefault="008D4B2E" w:rsidP="00AA53DA">
      <w:pPr>
        <w:ind w:firstLineChars="200" w:firstLine="360"/>
        <w:divId w:val="1680277743"/>
        <w:rPr>
          <w:rFonts w:ascii="宋体" w:eastAsia="宋体" w:hAnsi="宋体" w:cs="宋体"/>
          <w:sz w:val="18"/>
          <w:szCs w:val="18"/>
        </w:rPr>
      </w:pPr>
      <w:r w:rsidRPr="001112C2">
        <w:rPr>
          <w:rFonts w:ascii="宋体" w:eastAsia="宋体" w:hAnsi="宋体" w:cs="宋体" w:hint="eastAsia"/>
          <w:sz w:val="18"/>
          <w:szCs w:val="18"/>
        </w:rPr>
        <w:t>④</w:t>
      </w:r>
      <w:r w:rsidRPr="001112C2">
        <w:rPr>
          <w:rFonts w:ascii="宋体" w:eastAsia="宋体" w:hAnsi="宋体" w:cs="宋体"/>
          <w:sz w:val="18"/>
          <w:szCs w:val="18"/>
        </w:rPr>
        <w:t>2023</w:t>
      </w:r>
      <w:r w:rsidRPr="001112C2">
        <w:rPr>
          <w:rFonts w:ascii="宋体" w:eastAsia="宋体" w:hAnsi="宋体" w:cs="宋体" w:hint="eastAsia"/>
          <w:sz w:val="18"/>
          <w:szCs w:val="18"/>
        </w:rPr>
        <w:t>年</w:t>
      </w:r>
      <w:r w:rsidRPr="001112C2">
        <w:rPr>
          <w:rFonts w:ascii="宋体" w:eastAsia="宋体" w:hAnsi="宋体" w:cs="宋体"/>
          <w:sz w:val="18"/>
          <w:szCs w:val="18"/>
        </w:rPr>
        <w:t>8</w:t>
      </w:r>
      <w:r w:rsidRPr="001112C2">
        <w:rPr>
          <w:rFonts w:ascii="宋体" w:eastAsia="宋体" w:hAnsi="宋体" w:cs="宋体" w:hint="eastAsia"/>
          <w:sz w:val="18"/>
          <w:szCs w:val="18"/>
        </w:rPr>
        <w:t>月</w:t>
      </w:r>
      <w:r w:rsidRPr="001112C2">
        <w:rPr>
          <w:rFonts w:ascii="宋体" w:eastAsia="宋体" w:hAnsi="宋体" w:cs="宋体"/>
          <w:sz w:val="18"/>
          <w:szCs w:val="18"/>
        </w:rPr>
        <w:t>15</w:t>
      </w:r>
      <w:r w:rsidRPr="001112C2">
        <w:rPr>
          <w:rFonts w:ascii="宋体" w:eastAsia="宋体" w:hAnsi="宋体" w:cs="宋体" w:hint="eastAsia"/>
          <w:sz w:val="18"/>
          <w:szCs w:val="18"/>
        </w:rPr>
        <w:t>日召开</w:t>
      </w:r>
      <w:r w:rsidRPr="001112C2">
        <w:rPr>
          <w:rFonts w:ascii="宋体" w:eastAsia="宋体" w:hAnsi="宋体" w:cs="宋体"/>
          <w:sz w:val="18"/>
          <w:szCs w:val="18"/>
        </w:rPr>
        <w:t>2023</w:t>
      </w:r>
      <w:r w:rsidRPr="001112C2">
        <w:rPr>
          <w:rFonts w:ascii="宋体" w:eastAsia="宋体" w:hAnsi="宋体" w:cs="宋体" w:hint="eastAsia"/>
          <w:sz w:val="18"/>
          <w:szCs w:val="18"/>
        </w:rPr>
        <w:t>年第一次临时股东大会，</w:t>
      </w:r>
      <w:r w:rsidRPr="001112C2">
        <w:rPr>
          <w:rFonts w:ascii="宋体" w:eastAsia="宋体" w:hAnsi="宋体" w:cs="宋体"/>
          <w:sz w:val="18"/>
          <w:szCs w:val="18"/>
        </w:rPr>
        <w:t>2023</w:t>
      </w:r>
      <w:r w:rsidRPr="001112C2">
        <w:rPr>
          <w:rFonts w:ascii="宋体" w:eastAsia="宋体" w:hAnsi="宋体" w:cs="宋体" w:hint="eastAsia"/>
          <w:sz w:val="18"/>
          <w:szCs w:val="18"/>
        </w:rPr>
        <w:t>年</w:t>
      </w:r>
      <w:r w:rsidRPr="001112C2">
        <w:rPr>
          <w:rFonts w:ascii="宋体" w:eastAsia="宋体" w:hAnsi="宋体" w:cs="宋体"/>
          <w:sz w:val="18"/>
          <w:szCs w:val="18"/>
        </w:rPr>
        <w:t>8</w:t>
      </w:r>
      <w:r w:rsidRPr="001112C2">
        <w:rPr>
          <w:rFonts w:ascii="宋体" w:eastAsia="宋体" w:hAnsi="宋体" w:cs="宋体" w:hint="eastAsia"/>
          <w:sz w:val="18"/>
          <w:szCs w:val="18"/>
        </w:rPr>
        <w:t>月</w:t>
      </w:r>
      <w:r w:rsidRPr="001112C2">
        <w:rPr>
          <w:rFonts w:ascii="宋体" w:eastAsia="宋体" w:hAnsi="宋体" w:cs="宋体"/>
          <w:sz w:val="18"/>
          <w:szCs w:val="18"/>
        </w:rPr>
        <w:t>28</w:t>
      </w:r>
      <w:r w:rsidRPr="001112C2">
        <w:rPr>
          <w:rFonts w:ascii="宋体" w:eastAsia="宋体" w:hAnsi="宋体" w:cs="宋体" w:hint="eastAsia"/>
          <w:sz w:val="18"/>
          <w:szCs w:val="18"/>
        </w:rPr>
        <w:t>日召开第八届董事会第十一次会议、第八届监</w:t>
      </w:r>
      <w:r w:rsidRPr="001112C2">
        <w:rPr>
          <w:rFonts w:ascii="宋体" w:eastAsia="宋体" w:hAnsi="宋体" w:cs="宋体" w:hint="eastAsia"/>
          <w:sz w:val="18"/>
          <w:szCs w:val="18"/>
        </w:rPr>
        <w:lastRenderedPageBreak/>
        <w:t>事会第十三次会议，审议通过了《关于向激励对象授予限制性股票的议案》，确定向符合激励计划的激励对象授予总计</w:t>
      </w:r>
      <w:r w:rsidRPr="001112C2">
        <w:rPr>
          <w:rFonts w:ascii="宋体" w:eastAsia="宋体" w:hAnsi="宋体" w:cs="宋体"/>
          <w:sz w:val="18"/>
          <w:szCs w:val="18"/>
        </w:rPr>
        <w:t>3,750.00</w:t>
      </w:r>
      <w:r w:rsidRPr="001112C2">
        <w:rPr>
          <w:rFonts w:ascii="宋体" w:eastAsia="宋体" w:hAnsi="宋体" w:cs="宋体" w:hint="eastAsia"/>
          <w:sz w:val="18"/>
          <w:szCs w:val="18"/>
        </w:rPr>
        <w:t>万份权益。其中，确定对官</w:t>
      </w:r>
      <w:proofErr w:type="gramStart"/>
      <w:r w:rsidRPr="001112C2">
        <w:rPr>
          <w:rFonts w:ascii="宋体" w:eastAsia="宋体" w:hAnsi="宋体" w:cs="宋体" w:hint="eastAsia"/>
          <w:sz w:val="18"/>
          <w:szCs w:val="18"/>
        </w:rPr>
        <w:t>炳</w:t>
      </w:r>
      <w:proofErr w:type="gramEnd"/>
      <w:r w:rsidRPr="001112C2">
        <w:rPr>
          <w:rFonts w:ascii="宋体" w:eastAsia="宋体" w:hAnsi="宋体" w:cs="宋体" w:hint="eastAsia"/>
          <w:sz w:val="18"/>
          <w:szCs w:val="18"/>
        </w:rPr>
        <w:t>政、张垚、杨慧丽等</w:t>
      </w:r>
      <w:r w:rsidRPr="001112C2">
        <w:rPr>
          <w:rFonts w:ascii="宋体" w:eastAsia="宋体" w:hAnsi="宋体" w:cs="宋体"/>
          <w:sz w:val="18"/>
          <w:szCs w:val="18"/>
        </w:rPr>
        <w:t>51</w:t>
      </w:r>
      <w:r w:rsidRPr="001112C2">
        <w:rPr>
          <w:rFonts w:ascii="宋体" w:eastAsia="宋体" w:hAnsi="宋体" w:cs="宋体" w:hint="eastAsia"/>
          <w:sz w:val="18"/>
          <w:szCs w:val="18"/>
        </w:rPr>
        <w:t>名参加对象授予</w:t>
      </w:r>
      <w:r w:rsidRPr="001112C2">
        <w:rPr>
          <w:rFonts w:ascii="宋体" w:eastAsia="宋体" w:hAnsi="宋体" w:cs="宋体"/>
          <w:sz w:val="18"/>
          <w:szCs w:val="18"/>
        </w:rPr>
        <w:t>3,750</w:t>
      </w:r>
      <w:r w:rsidRPr="001112C2">
        <w:rPr>
          <w:rFonts w:ascii="宋体" w:eastAsia="宋体" w:hAnsi="宋体" w:cs="宋体" w:hint="eastAsia"/>
          <w:sz w:val="18"/>
          <w:szCs w:val="18"/>
        </w:rPr>
        <w:t>万股限制性股票，本次实际</w:t>
      </w:r>
      <w:r w:rsidRPr="001112C2">
        <w:rPr>
          <w:rFonts w:ascii="宋体" w:eastAsia="宋体" w:hAnsi="宋体" w:cs="宋体"/>
          <w:sz w:val="18"/>
          <w:szCs w:val="18"/>
        </w:rPr>
        <w:t>51</w:t>
      </w:r>
      <w:r w:rsidRPr="001112C2">
        <w:rPr>
          <w:rFonts w:ascii="宋体" w:eastAsia="宋体" w:hAnsi="宋体" w:cs="宋体" w:hint="eastAsia"/>
          <w:sz w:val="18"/>
          <w:szCs w:val="18"/>
        </w:rPr>
        <w:t>名参加对象认购</w:t>
      </w:r>
      <w:r w:rsidRPr="001112C2">
        <w:rPr>
          <w:rFonts w:ascii="宋体" w:eastAsia="宋体" w:hAnsi="宋体" w:cs="宋体"/>
          <w:sz w:val="18"/>
          <w:szCs w:val="18"/>
        </w:rPr>
        <w:t>37,500,000</w:t>
      </w:r>
      <w:r w:rsidRPr="001112C2">
        <w:rPr>
          <w:rFonts w:ascii="宋体" w:eastAsia="宋体" w:hAnsi="宋体" w:cs="宋体" w:hint="eastAsia"/>
          <w:sz w:val="18"/>
          <w:szCs w:val="18"/>
        </w:rPr>
        <w:t>股限制性股票，股票面值</w:t>
      </w:r>
      <w:r w:rsidRPr="001112C2">
        <w:rPr>
          <w:rFonts w:ascii="宋体" w:eastAsia="宋体" w:hAnsi="宋体" w:cs="宋体"/>
          <w:sz w:val="18"/>
          <w:szCs w:val="18"/>
        </w:rPr>
        <w:t>1</w:t>
      </w:r>
      <w:r w:rsidRPr="001112C2">
        <w:rPr>
          <w:rFonts w:ascii="宋体" w:eastAsia="宋体" w:hAnsi="宋体" w:cs="宋体" w:hint="eastAsia"/>
          <w:sz w:val="18"/>
          <w:szCs w:val="18"/>
        </w:rPr>
        <w:t>元，认购价格为</w:t>
      </w:r>
      <w:r w:rsidRPr="001112C2">
        <w:rPr>
          <w:rFonts w:ascii="宋体" w:eastAsia="宋体" w:hAnsi="宋体" w:cs="宋体"/>
          <w:sz w:val="18"/>
          <w:szCs w:val="18"/>
        </w:rPr>
        <w:t>4.00</w:t>
      </w:r>
      <w:r w:rsidRPr="001112C2">
        <w:rPr>
          <w:rFonts w:ascii="宋体" w:eastAsia="宋体" w:hAnsi="宋体" w:cs="宋体" w:hint="eastAsia"/>
          <w:sz w:val="18"/>
          <w:szCs w:val="18"/>
        </w:rPr>
        <w:t>元</w:t>
      </w:r>
      <w:r w:rsidRPr="001112C2">
        <w:rPr>
          <w:rFonts w:ascii="宋体" w:eastAsia="宋体" w:hAnsi="宋体" w:cs="宋体"/>
          <w:sz w:val="18"/>
          <w:szCs w:val="18"/>
        </w:rPr>
        <w:t>/</w:t>
      </w:r>
      <w:r w:rsidRPr="001112C2">
        <w:rPr>
          <w:rFonts w:ascii="宋体" w:eastAsia="宋体" w:hAnsi="宋体" w:cs="宋体" w:hint="eastAsia"/>
          <w:sz w:val="18"/>
          <w:szCs w:val="18"/>
        </w:rPr>
        <w:t>股，认缴股款人民币</w:t>
      </w:r>
      <w:r w:rsidRPr="001112C2">
        <w:rPr>
          <w:rFonts w:ascii="宋体" w:eastAsia="宋体" w:hAnsi="宋体" w:cs="宋体"/>
          <w:sz w:val="18"/>
          <w:szCs w:val="18"/>
        </w:rPr>
        <w:t>150,000,000.00</w:t>
      </w:r>
      <w:r w:rsidRPr="001112C2">
        <w:rPr>
          <w:rFonts w:ascii="宋体" w:eastAsia="宋体" w:hAnsi="宋体" w:cs="宋体" w:hint="eastAsia"/>
          <w:sz w:val="18"/>
          <w:szCs w:val="18"/>
        </w:rPr>
        <w:t>元。本期确认增加库存股</w:t>
      </w:r>
      <w:r w:rsidRPr="001112C2">
        <w:rPr>
          <w:rFonts w:ascii="宋体" w:eastAsia="宋体" w:hAnsi="宋体" w:cs="宋体"/>
          <w:sz w:val="18"/>
          <w:szCs w:val="18"/>
        </w:rPr>
        <w:t>150,000,000.00</w:t>
      </w:r>
      <w:r w:rsidRPr="001112C2">
        <w:rPr>
          <w:rFonts w:ascii="宋体" w:eastAsia="宋体" w:hAnsi="宋体" w:cs="宋体" w:hint="eastAsia"/>
          <w:sz w:val="18"/>
          <w:szCs w:val="18"/>
        </w:rPr>
        <w:t>元。</w:t>
      </w:r>
      <w:r w:rsidRPr="001112C2">
        <w:rPr>
          <w:rFonts w:ascii="宋体" w:eastAsia="宋体" w:hAnsi="宋体" w:cs="宋体"/>
          <w:sz w:val="18"/>
          <w:szCs w:val="18"/>
        </w:rPr>
        <w:t xml:space="preserve"> </w:t>
      </w:r>
    </w:p>
    <w:p w:rsidR="00BA0365" w:rsidRDefault="008D4B2E">
      <w:pPr>
        <w:pStyle w:val="3"/>
        <w:spacing w:line="280" w:lineRule="exact"/>
        <w:jc w:val="left"/>
        <w:rPr>
          <w:rFonts w:ascii="宋体" w:hAnsi="宋体" w:cs="宋体"/>
          <w:b/>
          <w:bCs/>
        </w:rPr>
      </w:pPr>
      <w:bookmarkStart w:id="318" w:name="_Toc989209"/>
      <w:r>
        <w:rPr>
          <w:rFonts w:ascii="宋体" w:hAnsi="宋体" w:cs="宋体"/>
          <w:b/>
          <w:bCs/>
        </w:rPr>
        <w:t>38、其他综合收益</w:t>
      </w:r>
      <w:bookmarkEnd w:id="31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6426"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本期所得税前发生额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减：前期计入其他综合收益当期转入损益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减：前期计入其他综合收益当期转入留存收益</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减：所得税费用</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税后归属于母公司</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税后归属于少数股东</w:t>
            </w:r>
          </w:p>
        </w:tc>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一、不能重分类进损益的其他综合收益</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56,773,510.60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-7,279,137.50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-7,187,601.63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-20,010,468.85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36,763,041.75</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其他权益工具投资公允价值变动</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56,773,510.60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-7,279,137.50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-7,187,601.63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-20,010,468.85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36,763,041.75</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二、将重分类进损益的其他综合收益</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-3,300,380.74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-1,037,177.16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-971,384.41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-65,792.75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-4,271,765.15</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外币财务报表折算差额</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-3,300,380.74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-1,037,177.16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-971,384.41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-65,792.75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-4,271,765.15</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其他综合收益合计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53,473,129.86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-8,316,314.66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-7,187,601.63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-20,981,853.26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-65,792.75</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32,491,276.60</w:t>
            </w:r>
          </w:p>
        </w:tc>
      </w:tr>
    </w:tbl>
    <w:p w:rsidR="00BA0365" w:rsidRDefault="008D4B2E">
      <w:pPr>
        <w:pStyle w:val="3"/>
        <w:spacing w:line="280" w:lineRule="exact"/>
        <w:jc w:val="left"/>
        <w:rPr>
          <w:rFonts w:ascii="宋体" w:hAnsi="宋体" w:cs="宋体"/>
          <w:b/>
          <w:bCs/>
        </w:rPr>
      </w:pPr>
      <w:bookmarkStart w:id="319" w:name="_Toc989210"/>
      <w:r>
        <w:rPr>
          <w:rFonts w:ascii="宋体" w:hAnsi="宋体" w:cs="宋体"/>
          <w:b/>
          <w:bCs/>
        </w:rPr>
        <w:t>39、专项储备</w:t>
      </w:r>
      <w:bookmarkEnd w:id="31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安全生产费</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22,725,471.70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13,594,456.15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38,455,862.10</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29,324,846.55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22,725,471.70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13,594,456.15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38,455,862.10</w:t>
            </w:r>
          </w:p>
        </w:tc>
      </w:tr>
    </w:tbl>
    <w:p w:rsidR="00BA0365" w:rsidRDefault="008D4B2E">
      <w:pPr>
        <w:pStyle w:val="3"/>
        <w:spacing w:line="280" w:lineRule="exact"/>
        <w:jc w:val="left"/>
        <w:rPr>
          <w:rFonts w:ascii="宋体" w:hAnsi="宋体" w:cs="宋体"/>
          <w:b/>
          <w:bCs/>
        </w:rPr>
      </w:pPr>
      <w:bookmarkStart w:id="320" w:name="_Toc989211"/>
      <w:r>
        <w:rPr>
          <w:rFonts w:ascii="宋体" w:hAnsi="宋体" w:cs="宋体"/>
          <w:b/>
          <w:bCs/>
        </w:rPr>
        <w:t>40、盈余公积</w:t>
      </w:r>
      <w:bookmarkEnd w:id="32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本期增加</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本期减少</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法定盈余公积</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307,023,374.76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313,347,760.29</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任意盈余公积</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24,959,598.78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24,959,598.78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331,982,973.54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338,307,359.07</w:t>
            </w:r>
          </w:p>
        </w:tc>
      </w:tr>
    </w:tbl>
    <w:p w:rsidR="00BA0365" w:rsidRDefault="008D4B2E">
      <w:pPr>
        <w:pStyle w:val="3"/>
        <w:spacing w:line="280" w:lineRule="exact"/>
        <w:jc w:val="left"/>
        <w:rPr>
          <w:rFonts w:ascii="宋体" w:hAnsi="宋体" w:cs="宋体"/>
          <w:b/>
          <w:bCs/>
        </w:rPr>
      </w:pPr>
      <w:bookmarkStart w:id="321" w:name="_Toc989212"/>
      <w:r>
        <w:rPr>
          <w:rFonts w:ascii="宋体" w:hAnsi="宋体" w:cs="宋体"/>
          <w:b/>
          <w:bCs/>
        </w:rPr>
        <w:lastRenderedPageBreak/>
        <w:t>41、未分配利润</w:t>
      </w:r>
      <w:bookmarkEnd w:id="32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调整前上期末未分配利润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1,294,264,991.83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调整后期初未分配利润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1,294,264,991.83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加：本期归属于母公司所有者的净利润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333,149,674.13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202,651,631.16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减：提取法定盈余公积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6,324,385.53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2,306,444.69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应付普通股股利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44,523,155.00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52E2B">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加：指定为以公允价值计量且变动计入其他综合收益的</w:t>
            </w:r>
            <w:proofErr w:type="gramStart"/>
            <w:r>
              <w:rPr>
                <w:rFonts w:ascii="宋体" w:eastAsia="宋体" w:hAnsi="宋体" w:cs="宋体"/>
                <w:sz w:val="18"/>
                <w:szCs w:val="18"/>
              </w:rPr>
              <w:t>非交易</w:t>
            </w:r>
            <w:proofErr w:type="gramEnd"/>
            <w:r>
              <w:rPr>
                <w:rFonts w:ascii="宋体" w:eastAsia="宋体" w:hAnsi="宋体" w:cs="宋体"/>
                <w:sz w:val="18"/>
                <w:szCs w:val="18"/>
              </w:rPr>
              <w:t>性权益工具终止确认处置利得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19,918,932.98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期末未分配利润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1,796,831,244.88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1,494,610,178.30</w:t>
            </w:r>
          </w:p>
        </w:tc>
      </w:tr>
    </w:tbl>
    <w:p w:rsidR="00BA0365" w:rsidRDefault="008D4B2E">
      <w:pPr>
        <w:pStyle w:val="3"/>
        <w:spacing w:line="280" w:lineRule="exact"/>
        <w:jc w:val="left"/>
        <w:rPr>
          <w:rFonts w:ascii="宋体" w:hAnsi="宋体" w:cs="宋体"/>
          <w:b/>
          <w:bCs/>
        </w:rPr>
      </w:pPr>
      <w:bookmarkStart w:id="322" w:name="_Toc989213"/>
      <w:r>
        <w:rPr>
          <w:rFonts w:ascii="宋体" w:hAnsi="宋体" w:cs="宋体"/>
          <w:b/>
          <w:bCs/>
        </w:rPr>
        <w:t>42、营业收入和营业成本</w:t>
      </w:r>
      <w:bookmarkEnd w:id="32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主营业务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5,485,228,857.05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4,095,131,032.36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5,284,263,744.76</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4,174,993,989.56</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162,366,308.94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84,071,216.81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451,651,212.82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404,663,031.23</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5,735,914,957.58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4,579,657,020.79</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经审计扣除非经常损益</w:t>
      </w:r>
      <w:proofErr w:type="gramStart"/>
      <w:r>
        <w:rPr>
          <w:rFonts w:ascii="宋体" w:eastAsia="宋体" w:hAnsi="宋体" w:cs="宋体"/>
          <w:sz w:val="18"/>
          <w:szCs w:val="18"/>
        </w:rPr>
        <w:t>前后净</w:t>
      </w:r>
      <w:proofErr w:type="gramEnd"/>
      <w:r>
        <w:rPr>
          <w:rFonts w:ascii="宋体" w:eastAsia="宋体" w:hAnsi="宋体" w:cs="宋体"/>
          <w:sz w:val="18"/>
          <w:szCs w:val="18"/>
        </w:rPr>
        <w:t>利润孰</w:t>
      </w:r>
      <w:proofErr w:type="gramStart"/>
      <w:r>
        <w:rPr>
          <w:rFonts w:ascii="宋体" w:eastAsia="宋体" w:hAnsi="宋体" w:cs="宋体"/>
          <w:sz w:val="18"/>
          <w:szCs w:val="18"/>
        </w:rPr>
        <w:t>低是否</w:t>
      </w:r>
      <w:proofErr w:type="gramEnd"/>
      <w:r>
        <w:rPr>
          <w:rFonts w:ascii="宋体" w:eastAsia="宋体" w:hAnsi="宋体" w:cs="宋体"/>
          <w:sz w:val="18"/>
          <w:szCs w:val="18"/>
        </w:rPr>
        <w:t>为负值</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营业收入、营业成本的分解信息：</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840"/>
        <w:gridCol w:w="1985"/>
        <w:gridCol w:w="1984"/>
        <w:gridCol w:w="1985"/>
        <w:gridCol w:w="1845"/>
      </w:tblGrid>
      <w:tr w:rsidR="004E6C26" w:rsidTr="004E6C26">
        <w:trPr>
          <w:trHeight w:val="240"/>
        </w:trPr>
        <w:tc>
          <w:tcPr>
            <w:tcW w:w="184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合同分类</w:t>
            </w:r>
          </w:p>
        </w:tc>
        <w:tc>
          <w:tcPr>
            <w:tcW w:w="396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分部1</w:t>
            </w:r>
          </w:p>
        </w:tc>
        <w:tc>
          <w:tcPr>
            <w:tcW w:w="383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4E6C26" w:rsidTr="004E6C26">
        <w:trPr>
          <w:trHeight w:val="240"/>
        </w:trPr>
        <w:tc>
          <w:tcPr>
            <w:tcW w:w="184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jc w:val="center"/>
              <w:rPr>
                <w:rFonts w:ascii="宋体" w:eastAsia="宋体" w:hAnsi="宋体" w:cs="宋体"/>
                <w:sz w:val="18"/>
                <w:szCs w:val="18"/>
              </w:rPr>
            </w:pPr>
            <w:r>
              <w:rPr>
                <w:rFonts w:ascii="宋体" w:eastAsia="宋体" w:hAnsi="宋体" w:cs="宋体"/>
                <w:sz w:val="18"/>
                <w:szCs w:val="18"/>
              </w:rPr>
              <w:t>营业成本</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业务类型</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软件业</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14,079,974.00</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14,079,974.00</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制造及安装业</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5,433,415,010.74</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4,165,122,275.17</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5,433,415,010.74</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4,165,122,275.17</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按经营地区分类</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国内</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4,250,295,118.06</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3,186,537,760.24</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4,250,295,118.06</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3,186,537,760.25</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国外</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1,397,300,047.93</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992,664,488.93</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1,397,300,047.93</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992,664,488.93</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市场或客户类型</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4,179,202,249.17</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橡胶装备系统</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4,020,909,944.75</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2,837,983,174.72</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4,020,909,944.75</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2,837,983,174.72</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合成橡胶</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1,586,896,743.64</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1,318,944,541.75</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1,586,896,743.64</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1,318,944,541.75</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r>
              <w:rPr>
                <w:rFonts w:ascii="宋体" w:eastAsia="宋体" w:hAnsi="宋体" w:cs="宋体"/>
                <w:sz w:val="18"/>
                <w:szCs w:val="18"/>
              </w:rPr>
              <w:t>其他</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39,788,477.60</w:t>
            </w: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22,274,532.70</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39,788,477.60</w:t>
            </w: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r>
              <w:rPr>
                <w:rFonts w:ascii="宋体" w:eastAsia="宋体" w:hAnsi="宋体" w:cs="宋体"/>
                <w:sz w:val="18"/>
                <w:szCs w:val="18"/>
              </w:rPr>
              <w:t>22,274,532.70</w:t>
            </w: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合同类型</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按商品转让的时间分</w:t>
            </w:r>
            <w:r>
              <w:rPr>
                <w:rFonts w:ascii="宋体" w:eastAsia="宋体" w:hAnsi="宋体" w:cs="宋体"/>
                <w:sz w:val="18"/>
                <w:szCs w:val="18"/>
              </w:rPr>
              <w:lastRenderedPageBreak/>
              <w:t>类</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lastRenderedPageBreak/>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按合同期限分类</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按销售渠道分类</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 xml:space="preserve">　其中：</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4"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c>
          <w:tcPr>
            <w:tcW w:w="1845"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r w:rsidR="004E6C26" w:rsidTr="004E6C26">
        <w:trPr>
          <w:trHeight w:val="240"/>
        </w:trPr>
        <w:tc>
          <w:tcPr>
            <w:tcW w:w="1840" w:type="dxa"/>
            <w:tcBorders>
              <w:top w:val="single" w:sz="2" w:space="0" w:color="auto"/>
              <w:left w:val="single" w:sz="2" w:space="0" w:color="auto"/>
              <w:bottom w:val="single" w:sz="2" w:space="0" w:color="auto"/>
              <w:right w:val="single" w:sz="2" w:space="0" w:color="auto"/>
            </w:tcBorders>
            <w:shd w:val="clear" w:color="auto" w:fill="D3D3D3"/>
            <w:vAlign w:val="center"/>
          </w:tcPr>
          <w:p w:rsidR="004E6C26" w:rsidRDefault="004E6C26">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4"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98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c>
          <w:tcPr>
            <w:tcW w:w="1845" w:type="dxa"/>
            <w:tcBorders>
              <w:top w:val="single" w:sz="2" w:space="0" w:color="auto"/>
              <w:left w:val="single" w:sz="2" w:space="0" w:color="auto"/>
              <w:bottom w:val="single" w:sz="2" w:space="0" w:color="auto"/>
              <w:right w:val="single" w:sz="2" w:space="0" w:color="auto"/>
            </w:tcBorders>
            <w:vAlign w:val="center"/>
          </w:tcPr>
          <w:p w:rsidR="004E6C26" w:rsidRDefault="004E6C26">
            <w:pPr>
              <w:spacing w:line="240" w:lineRule="exact"/>
              <w:jc w:val="right"/>
              <w:rPr>
                <w:rFonts w:ascii="宋体" w:eastAsia="宋体" w:hAnsi="宋体" w:cs="宋体"/>
                <w:sz w:val="18"/>
                <w:szCs w:val="18"/>
              </w:rPr>
            </w:pPr>
          </w:p>
        </w:tc>
      </w:tr>
    </w:tbl>
    <w:p w:rsidR="00BA0365" w:rsidRDefault="008D4B2E">
      <w:pPr>
        <w:pStyle w:val="3"/>
        <w:spacing w:line="280" w:lineRule="exact"/>
        <w:jc w:val="left"/>
        <w:rPr>
          <w:rFonts w:ascii="宋体" w:hAnsi="宋体" w:cs="宋体"/>
          <w:b/>
          <w:bCs/>
        </w:rPr>
      </w:pPr>
      <w:bookmarkStart w:id="323" w:name="_Toc989214"/>
      <w:r>
        <w:rPr>
          <w:rFonts w:ascii="宋体" w:hAnsi="宋体" w:cs="宋体"/>
          <w:b/>
          <w:bCs/>
        </w:rPr>
        <w:t>43、税金及附加</w:t>
      </w:r>
      <w:bookmarkEnd w:id="32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城市维护建设税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8,821,950.70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9,780,138.40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教育费附加</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6,386,892.44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6,685,728.19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房产税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8,587,268.26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6,180,113.67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土地使用税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7,916,062.58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6,650,699.16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印花税</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4,007,979.39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3,697,155.84</w:t>
            </w:r>
          </w:p>
        </w:tc>
      </w:tr>
      <w:tr w:rsidR="00157EA0" w:rsidTr="00152E2B">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其他税费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103,683.57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476,704.43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35,823,836.94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33,470,539.69</w:t>
            </w:r>
          </w:p>
        </w:tc>
      </w:tr>
    </w:tbl>
    <w:p w:rsidR="008D4B2E" w:rsidRPr="001112C2" w:rsidRDefault="008D4B2E" w:rsidP="001112C2">
      <w:pPr>
        <w:spacing w:before="100" w:after="100" w:line="240" w:lineRule="exact"/>
        <w:rPr>
          <w:rFonts w:ascii="宋体" w:eastAsia="宋体" w:hAnsi="宋体" w:cs="宋体"/>
          <w:sz w:val="18"/>
          <w:szCs w:val="18"/>
        </w:rPr>
      </w:pPr>
      <w:r>
        <w:rPr>
          <w:rFonts w:ascii="宋体" w:eastAsia="宋体" w:hAnsi="宋体" w:cs="宋体"/>
          <w:sz w:val="18"/>
          <w:szCs w:val="18"/>
        </w:rPr>
        <w:t>其他说明：</w:t>
      </w:r>
      <w:r>
        <w:rPr>
          <w:rFonts w:cs="Arial" w:hint="eastAsia"/>
          <w:sz w:val="18"/>
          <w:szCs w:val="18"/>
        </w:rPr>
        <w:t>注：各项税金及附加的计缴标准详见附注五、税项。</w:t>
      </w:r>
    </w:p>
    <w:p w:rsidR="00BA0365" w:rsidRDefault="008D4B2E">
      <w:pPr>
        <w:pStyle w:val="3"/>
        <w:spacing w:line="280" w:lineRule="exact"/>
        <w:jc w:val="left"/>
        <w:rPr>
          <w:rFonts w:ascii="宋体" w:hAnsi="宋体" w:cs="宋体"/>
          <w:b/>
          <w:bCs/>
        </w:rPr>
      </w:pPr>
      <w:bookmarkStart w:id="324" w:name="_Toc989215"/>
      <w:r>
        <w:rPr>
          <w:rFonts w:ascii="宋体" w:hAnsi="宋体" w:cs="宋体"/>
          <w:b/>
          <w:bCs/>
        </w:rPr>
        <w:t>44、管理费用</w:t>
      </w:r>
      <w:bookmarkEnd w:id="32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工资薪金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304,111,042.98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271,258,987.61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折旧与摊销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36,117,012.76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29,561,273.91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10,203,903.91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12,998,540.11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办公及劳动保护费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13,908,643.27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10,779,317.88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行政费用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9,366,641.11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8,911,273.99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维修/租赁费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29,317,584.97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14,159,571.41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4,290,079.32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3,129,993.95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水/电/蒸汽费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4,114,940.84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3,531,113.07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网络通讯费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2,641,141.00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2,879,234.54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保险费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3,388,547.14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3,404,803.65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40,659,489.74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46,703,056.07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458,119,027.04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407,317,166.19</w:t>
            </w:r>
          </w:p>
        </w:tc>
      </w:tr>
    </w:tbl>
    <w:p w:rsidR="00BA0365" w:rsidRDefault="008D4B2E">
      <w:pPr>
        <w:pStyle w:val="3"/>
        <w:spacing w:line="280" w:lineRule="exact"/>
        <w:jc w:val="left"/>
        <w:rPr>
          <w:rFonts w:ascii="宋体" w:hAnsi="宋体" w:cs="宋体"/>
          <w:b/>
          <w:bCs/>
        </w:rPr>
      </w:pPr>
      <w:bookmarkStart w:id="325" w:name="_Toc989216"/>
      <w:r>
        <w:rPr>
          <w:rFonts w:ascii="宋体" w:hAnsi="宋体" w:cs="宋体"/>
          <w:b/>
          <w:bCs/>
        </w:rPr>
        <w:t>45、销售费用</w:t>
      </w:r>
      <w:bookmarkEnd w:id="32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工资及附加</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71,825,480.62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61,487,692.90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售后服务费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25,472,637.92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26,931,783.20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装卸/运输费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1,173,821.80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2,755,660.51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12,991,131.73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8,205,083.68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业务招待费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8,017,420.02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5,105,797.83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广告/宣传/中介</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4,903,001.09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4,560,240.57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办公及劳保费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1,183,816.56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1,129,260.19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31,421,051.88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27,662,813.93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156,988,361.62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137,838,332.81</w:t>
            </w:r>
          </w:p>
        </w:tc>
      </w:tr>
    </w:tbl>
    <w:p w:rsidR="00BA0365" w:rsidRDefault="008D4B2E">
      <w:pPr>
        <w:pStyle w:val="3"/>
        <w:spacing w:line="280" w:lineRule="exact"/>
        <w:jc w:val="left"/>
        <w:rPr>
          <w:rFonts w:ascii="宋体" w:hAnsi="宋体" w:cs="宋体"/>
          <w:b/>
          <w:bCs/>
        </w:rPr>
      </w:pPr>
      <w:bookmarkStart w:id="326" w:name="_Toc989217"/>
      <w:r>
        <w:rPr>
          <w:rFonts w:ascii="宋体" w:hAnsi="宋体" w:cs="宋体"/>
          <w:b/>
          <w:bCs/>
        </w:rPr>
        <w:t>46、研发费用</w:t>
      </w:r>
      <w:bookmarkEnd w:id="32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工资薪金及劳务费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184,144,921.87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149,870,836.54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12,510,201.05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10,032,005.36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6,035,123.50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3,925,949.88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4,563,712.73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5,495,037.77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物料消耗费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133,301,805.38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113,256,816.02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租赁费/修理费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1,944,492.49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1,380,131.07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16,084,811.81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18,978,879.55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r>
    </w:tbl>
    <w:p w:rsidR="00BA0365" w:rsidRDefault="008D4B2E">
      <w:pPr>
        <w:pStyle w:val="3"/>
        <w:spacing w:line="280" w:lineRule="exact"/>
        <w:jc w:val="left"/>
        <w:rPr>
          <w:rFonts w:ascii="宋体" w:hAnsi="宋体" w:cs="宋体"/>
          <w:b/>
          <w:bCs/>
        </w:rPr>
      </w:pPr>
      <w:bookmarkStart w:id="327" w:name="_Toc989218"/>
      <w:r>
        <w:rPr>
          <w:rFonts w:ascii="宋体" w:hAnsi="宋体" w:cs="宋体"/>
          <w:b/>
          <w:bCs/>
        </w:rPr>
        <w:t>47、财务费用</w:t>
      </w:r>
      <w:bookmarkEnd w:id="32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利息支出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73,661,316.99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31,754,885.80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-30,950,637.44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-22,073,240.31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汇兑损益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16,611,115.80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5,770,980.98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手续费及其他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5,740,117.23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3,024,222.68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65,061,912.58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18,476,849.15</w:t>
            </w:r>
          </w:p>
        </w:tc>
      </w:tr>
    </w:tbl>
    <w:p w:rsidR="00BA0365" w:rsidRDefault="008D4B2E">
      <w:pPr>
        <w:pStyle w:val="3"/>
        <w:spacing w:line="280" w:lineRule="exact"/>
        <w:jc w:val="left"/>
        <w:rPr>
          <w:rFonts w:ascii="宋体" w:hAnsi="宋体" w:cs="宋体"/>
          <w:b/>
          <w:bCs/>
        </w:rPr>
      </w:pPr>
      <w:bookmarkStart w:id="328" w:name="_Toc989219"/>
      <w:r>
        <w:rPr>
          <w:rFonts w:ascii="宋体" w:hAnsi="宋体" w:cs="宋体"/>
          <w:b/>
          <w:bCs/>
        </w:rPr>
        <w:t>48、其他收益</w:t>
      </w:r>
      <w:bookmarkEnd w:id="32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产生其他收益的来源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与企业日常活动相关的政府补助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35,995,882.44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32,533,450.93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债务重组收益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1,373,649.83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236,122.62</w:t>
            </w:r>
          </w:p>
        </w:tc>
      </w:tr>
    </w:tbl>
    <w:p w:rsidR="00BA0365" w:rsidRDefault="008D4B2E">
      <w:pPr>
        <w:pStyle w:val="3"/>
        <w:spacing w:line="280" w:lineRule="exact"/>
        <w:jc w:val="left"/>
        <w:rPr>
          <w:rFonts w:ascii="宋体" w:hAnsi="宋体" w:cs="宋体"/>
          <w:b/>
          <w:bCs/>
        </w:rPr>
      </w:pPr>
      <w:bookmarkStart w:id="329" w:name="_Toc989220"/>
      <w:r>
        <w:rPr>
          <w:rFonts w:ascii="宋体" w:hAnsi="宋体" w:cs="宋体"/>
          <w:b/>
          <w:bCs/>
        </w:rPr>
        <w:t>49、投资收益</w:t>
      </w:r>
      <w:bookmarkEnd w:id="32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权益法核算的长期股权投资收益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3,599,970.02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3,003,057.72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处置长期股权投资产生的投资收益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21,501,642.27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10,359,974.86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处置交易性金融资产取得的投资收益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-9,712,107.65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其他权益工具投资在持有期间取得的股利收入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9,757,669.41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债务重组收益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215,624.24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-8,341,091.12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理财收益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51,322,270.12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36,395,426.68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-102,159.28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81,225,239.72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51,175,037.55</w:t>
            </w:r>
          </w:p>
        </w:tc>
      </w:tr>
    </w:tbl>
    <w:p w:rsidR="00BA0365" w:rsidRDefault="008D4B2E">
      <w:pPr>
        <w:pStyle w:val="3"/>
        <w:spacing w:line="280" w:lineRule="exact"/>
        <w:jc w:val="left"/>
        <w:rPr>
          <w:rFonts w:ascii="宋体" w:hAnsi="宋体" w:cs="宋体"/>
          <w:b/>
          <w:bCs/>
        </w:rPr>
      </w:pPr>
      <w:bookmarkStart w:id="330" w:name="_Toc989221"/>
      <w:r>
        <w:rPr>
          <w:rFonts w:ascii="宋体" w:hAnsi="宋体" w:cs="宋体"/>
          <w:b/>
          <w:bCs/>
        </w:rPr>
        <w:t>50、信用减值损失</w:t>
      </w:r>
      <w:bookmarkEnd w:id="33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应收票据坏账损失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-4,408,183.20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-7,552,367.39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应收账款坏账损失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16,073,703.80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12,931,588.82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其他应收款坏账损失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7,480,838.06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-49,177,988.41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19,146,358.66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-43,798,766.98</w:t>
            </w:r>
          </w:p>
        </w:tc>
      </w:tr>
    </w:tbl>
    <w:p w:rsidR="00BA0365" w:rsidRDefault="008D4B2E">
      <w:pPr>
        <w:pStyle w:val="3"/>
        <w:spacing w:line="280" w:lineRule="exact"/>
        <w:jc w:val="left"/>
        <w:rPr>
          <w:rFonts w:ascii="宋体" w:hAnsi="宋体" w:cs="宋体"/>
          <w:b/>
          <w:bCs/>
        </w:rPr>
      </w:pPr>
      <w:bookmarkStart w:id="331" w:name="_Toc989222"/>
      <w:r>
        <w:rPr>
          <w:rFonts w:ascii="宋体" w:hAnsi="宋体" w:cs="宋体"/>
          <w:b/>
          <w:bCs/>
        </w:rPr>
        <w:t>51、资产减值损失</w:t>
      </w:r>
      <w:bookmarkEnd w:id="33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一、存货跌价损失及合同履约成本减值损失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-82,330,413.47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-61,825,422.94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四、固定资产减值损失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-17,777,387.43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-2,955,573.83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九、无形资产减值损失</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-8,077,580.88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-100,107,800.90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-72,858,577.65</w:t>
            </w:r>
          </w:p>
        </w:tc>
      </w:tr>
    </w:tbl>
    <w:p w:rsidR="00BA0365" w:rsidRDefault="008D4B2E">
      <w:pPr>
        <w:pStyle w:val="3"/>
        <w:spacing w:line="280" w:lineRule="exact"/>
        <w:jc w:val="left"/>
        <w:rPr>
          <w:rFonts w:ascii="宋体" w:hAnsi="宋体" w:cs="宋体"/>
          <w:b/>
          <w:bCs/>
        </w:rPr>
      </w:pPr>
      <w:bookmarkStart w:id="332" w:name="_Toc989223"/>
      <w:r>
        <w:rPr>
          <w:rFonts w:ascii="宋体" w:hAnsi="宋体" w:cs="宋体"/>
          <w:b/>
          <w:bCs/>
        </w:rPr>
        <w:t>52、资产处置收益</w:t>
      </w:r>
      <w:bookmarkEnd w:id="33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资产处置收益的来源</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非流动资产处置收益合计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-2,345,212.50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-1,060,981.28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其中：固定资产处置收益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-1,050,476.28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-1,060,981.28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使用权资产处置收益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-1,294,736.22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pStyle w:val="3"/>
        <w:spacing w:line="280" w:lineRule="exact"/>
        <w:jc w:val="left"/>
        <w:rPr>
          <w:rFonts w:ascii="宋体" w:hAnsi="宋体" w:cs="宋体"/>
          <w:b/>
          <w:bCs/>
        </w:rPr>
      </w:pPr>
      <w:bookmarkStart w:id="333" w:name="_Toc989224"/>
      <w:r>
        <w:rPr>
          <w:rFonts w:ascii="宋体" w:hAnsi="宋体" w:cs="宋体"/>
          <w:b/>
          <w:bCs/>
        </w:rPr>
        <w:t>53、营业外收入</w:t>
      </w:r>
      <w:bookmarkEnd w:id="33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政府补助</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770,002.47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非流动资产毁损报废利得</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2,001.90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其中：固定资产报废利得</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2,001.90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罚款收入</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1,407,605.82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1,019,341.56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1,407,605.82</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1,283,153.54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1,052,981.39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1,283,153.54</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2,690,759.36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2,844,327.32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2,690,759.36</w:t>
            </w:r>
          </w:p>
        </w:tc>
      </w:tr>
    </w:tbl>
    <w:p w:rsidR="00BA0365" w:rsidRDefault="008D4B2E">
      <w:pPr>
        <w:pStyle w:val="3"/>
        <w:spacing w:line="280" w:lineRule="exact"/>
        <w:jc w:val="left"/>
        <w:rPr>
          <w:rFonts w:ascii="宋体" w:hAnsi="宋体" w:cs="宋体"/>
          <w:b/>
          <w:bCs/>
        </w:rPr>
      </w:pPr>
      <w:bookmarkStart w:id="334" w:name="_Toc989225"/>
      <w:r>
        <w:rPr>
          <w:rFonts w:ascii="宋体" w:hAnsi="宋体" w:cs="宋体"/>
          <w:b/>
          <w:bCs/>
        </w:rPr>
        <w:t>54、营业外支出</w:t>
      </w:r>
      <w:bookmarkEnd w:id="33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计入当期非经常性损益的金额</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对外捐赠</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2,239,000.00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212,140.00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2,239,000.00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非流动资产毁损报废损失</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17,716,446.46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1,448,737.85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17,716,446.46</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其中：固定资产报废损失</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17,716,446.46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1,448,737.85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17,716,446.46</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罚款支出</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838,266.55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1,106,863.68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838,266.55</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-295,215.05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1,928,002.97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-295,215.05</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20,498,497.96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4,695,744.50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20,498,497.96</w:t>
            </w:r>
          </w:p>
        </w:tc>
      </w:tr>
    </w:tbl>
    <w:p w:rsidR="00BA0365" w:rsidRDefault="008D4B2E">
      <w:pPr>
        <w:pStyle w:val="3"/>
        <w:spacing w:line="280" w:lineRule="exact"/>
        <w:jc w:val="left"/>
        <w:rPr>
          <w:rFonts w:ascii="宋体" w:hAnsi="宋体" w:cs="宋体"/>
          <w:b/>
          <w:bCs/>
        </w:rPr>
      </w:pPr>
      <w:bookmarkStart w:id="335" w:name="_Toc989226"/>
      <w:r>
        <w:rPr>
          <w:rFonts w:ascii="宋体" w:hAnsi="宋体" w:cs="宋体"/>
          <w:b/>
          <w:bCs/>
        </w:rPr>
        <w:t>55、所得税费用</w:t>
      </w:r>
      <w:bookmarkEnd w:id="335"/>
    </w:p>
    <w:p w:rsidR="00BA0365" w:rsidRDefault="008D4B2E">
      <w:pPr>
        <w:keepNext/>
        <w:keepLines/>
        <w:spacing w:before="300" w:after="300" w:line="280" w:lineRule="exact"/>
        <w:outlineLvl w:val="3"/>
        <w:rPr>
          <w:rFonts w:ascii="宋体" w:eastAsia="宋体" w:hAnsi="宋体" w:cs="宋体"/>
          <w:b/>
          <w:bCs/>
          <w:szCs w:val="21"/>
        </w:rPr>
      </w:pPr>
      <w:bookmarkStart w:id="336" w:name="_Toc989227"/>
      <w:r>
        <w:rPr>
          <w:rFonts w:ascii="宋体" w:eastAsia="宋体" w:hAnsi="宋体" w:cs="宋体"/>
          <w:b/>
          <w:bCs/>
          <w:szCs w:val="21"/>
        </w:rPr>
        <w:t>（1） 所得税费用表</w:t>
      </w:r>
      <w:bookmarkEnd w:id="33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当期所得税费用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21,178,233.58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5,828,073.59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递延所得税费用</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-5,255,889.97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-17,700,396.18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15,922,343.61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-11,872,322.59</w:t>
            </w:r>
          </w:p>
        </w:tc>
      </w:tr>
    </w:tbl>
    <w:p w:rsidR="00BA0365" w:rsidRDefault="008D4B2E">
      <w:pPr>
        <w:keepNext/>
        <w:keepLines/>
        <w:spacing w:before="300" w:after="300" w:line="280" w:lineRule="exact"/>
        <w:outlineLvl w:val="3"/>
        <w:rPr>
          <w:rFonts w:ascii="宋体" w:eastAsia="宋体" w:hAnsi="宋体" w:cs="宋体"/>
          <w:b/>
          <w:bCs/>
          <w:szCs w:val="21"/>
        </w:rPr>
      </w:pPr>
      <w:bookmarkStart w:id="337" w:name="_Toc989228"/>
      <w:r>
        <w:rPr>
          <w:rFonts w:ascii="宋体" w:eastAsia="宋体" w:hAnsi="宋体" w:cs="宋体"/>
          <w:b/>
          <w:bCs/>
          <w:szCs w:val="21"/>
        </w:rPr>
        <w:t>（2） 会计利润与所得税费用调整过程</w:t>
      </w:r>
      <w:bookmarkEnd w:id="33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利润总额</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411,295,088.46</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按法定/适用税率计算的所得税费用</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61,694,263.27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子公司适用不同税率的影响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-3,647,557.47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调整以前期间所得税的影响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334,197.59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非应税收入的影响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-1,965,000.00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不可抵扣的成本、费用和损失的影响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-1,914,768.96</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使用前期未确认递延所得税资产的可抵扣亏损的影响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-24,638,487.97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proofErr w:type="gramStart"/>
            <w:r>
              <w:rPr>
                <w:rFonts w:ascii="宋体" w:eastAsia="宋体" w:hAnsi="宋体" w:cs="宋体"/>
                <w:sz w:val="18"/>
                <w:szCs w:val="18"/>
              </w:rPr>
              <w:t>本期未</w:t>
            </w:r>
            <w:proofErr w:type="gramEnd"/>
            <w:r>
              <w:rPr>
                <w:rFonts w:ascii="宋体" w:eastAsia="宋体" w:hAnsi="宋体" w:cs="宋体"/>
                <w:sz w:val="18"/>
                <w:szCs w:val="18"/>
              </w:rPr>
              <w:t>确认递延所得税资产的可抵扣暂时性差异或可抵扣亏损的影响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11,373,780.68</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税率调整导致</w:t>
            </w:r>
            <w:proofErr w:type="gramStart"/>
            <w:r>
              <w:rPr>
                <w:rFonts w:ascii="宋体" w:eastAsia="宋体" w:hAnsi="宋体" w:cs="宋体"/>
                <w:sz w:val="18"/>
                <w:szCs w:val="18"/>
              </w:rPr>
              <w:t>期初递延</w:t>
            </w:r>
            <w:proofErr w:type="gramEnd"/>
            <w:r>
              <w:rPr>
                <w:rFonts w:ascii="宋体" w:eastAsia="宋体" w:hAnsi="宋体" w:cs="宋体"/>
                <w:sz w:val="18"/>
                <w:szCs w:val="18"/>
              </w:rPr>
              <w:t>所得税资产/负债余额的变化</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-61,828.79</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股权激励对所得税的影响</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959,747.83</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权益法核算的合营企业和联营企业损益</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-539,995.50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研究开发费加成扣除的纳税影响（以“-”填列）</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-25,672,007.07</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固定资产加计扣除</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减免所得税</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所得税费用</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15,922,343.61</w:t>
            </w:r>
          </w:p>
        </w:tc>
      </w:tr>
    </w:tbl>
    <w:p w:rsidR="00BA0365" w:rsidRDefault="008D4B2E">
      <w:pPr>
        <w:pStyle w:val="3"/>
        <w:spacing w:line="280" w:lineRule="exact"/>
        <w:jc w:val="left"/>
        <w:rPr>
          <w:rFonts w:ascii="宋体" w:hAnsi="宋体" w:cs="宋体"/>
          <w:b/>
          <w:bCs/>
        </w:rPr>
      </w:pPr>
      <w:bookmarkStart w:id="338" w:name="_Toc989229"/>
      <w:r>
        <w:rPr>
          <w:rFonts w:ascii="宋体" w:hAnsi="宋体" w:cs="宋体"/>
          <w:b/>
          <w:bCs/>
        </w:rPr>
        <w:t>56、其他综合收益</w:t>
      </w:r>
      <w:bookmarkEnd w:id="338"/>
    </w:p>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详见附注38。</w:t>
      </w:r>
    </w:p>
    <w:p w:rsidR="00BA0365" w:rsidRDefault="008D4B2E">
      <w:pPr>
        <w:pStyle w:val="3"/>
        <w:spacing w:line="280" w:lineRule="exact"/>
        <w:jc w:val="left"/>
        <w:rPr>
          <w:rFonts w:ascii="宋体" w:hAnsi="宋体" w:cs="宋体"/>
          <w:b/>
          <w:bCs/>
        </w:rPr>
      </w:pPr>
      <w:bookmarkStart w:id="339" w:name="_Toc989230"/>
      <w:r>
        <w:rPr>
          <w:rFonts w:ascii="宋体" w:hAnsi="宋体" w:cs="宋体"/>
          <w:b/>
          <w:bCs/>
        </w:rPr>
        <w:t>57、现金流量表项目</w:t>
      </w:r>
      <w:bookmarkEnd w:id="339"/>
    </w:p>
    <w:p w:rsidR="00BA0365" w:rsidRDefault="008D4B2E">
      <w:pPr>
        <w:keepNext/>
        <w:keepLines/>
        <w:spacing w:before="300" w:after="300" w:line="280" w:lineRule="exact"/>
        <w:outlineLvl w:val="3"/>
        <w:rPr>
          <w:rFonts w:ascii="宋体" w:eastAsia="宋体" w:hAnsi="宋体" w:cs="宋体"/>
          <w:b/>
          <w:bCs/>
          <w:szCs w:val="21"/>
        </w:rPr>
      </w:pPr>
      <w:bookmarkStart w:id="340" w:name="_Toc989231"/>
      <w:r>
        <w:rPr>
          <w:rFonts w:ascii="宋体" w:eastAsia="宋体" w:hAnsi="宋体" w:cs="宋体"/>
          <w:b/>
          <w:bCs/>
          <w:szCs w:val="21"/>
        </w:rPr>
        <w:t>（1） 与经营活动有关的现金</w:t>
      </w:r>
      <w:bookmarkEnd w:id="34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收到的其他与经营活动有关的现金</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1,110,854,030.55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734,563,225.23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政府补助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16,869,963.65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27,442,776.93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往来款项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10,326,113.52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2,859,631.97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存款利息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29,717,597.74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20,502,090.26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26,857,938.47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14,511,762.67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1,194,625,643.93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799,879,487.06</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支付的其他与经营活动有关的现金</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保证金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1,343,229,861.99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1,079,895,850.68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销售、管理、研发等费用支出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202,806,470.05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135,978,447.90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84,945,777.26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62,349,497.05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1,630,982,109.30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1,278,223,795.63</w:t>
            </w:r>
          </w:p>
        </w:tc>
      </w:tr>
    </w:tbl>
    <w:p w:rsidR="00BA0365" w:rsidRDefault="008D4B2E">
      <w:pPr>
        <w:pStyle w:val="3"/>
        <w:spacing w:line="280" w:lineRule="exact"/>
        <w:jc w:val="left"/>
        <w:rPr>
          <w:rFonts w:ascii="宋体" w:hAnsi="宋体" w:cs="宋体"/>
          <w:b/>
          <w:bCs/>
        </w:rPr>
      </w:pPr>
      <w:bookmarkStart w:id="341" w:name="_Toc989232"/>
      <w:r>
        <w:rPr>
          <w:rFonts w:ascii="宋体" w:hAnsi="宋体" w:cs="宋体"/>
          <w:b/>
          <w:bCs/>
        </w:rPr>
        <w:t>58、现金流量表补充资料</w:t>
      </w:r>
      <w:bookmarkEnd w:id="341"/>
    </w:p>
    <w:p w:rsidR="00BA0365" w:rsidRDefault="008D4B2E">
      <w:pPr>
        <w:keepNext/>
        <w:keepLines/>
        <w:spacing w:before="300" w:after="300" w:line="280" w:lineRule="exact"/>
        <w:outlineLvl w:val="3"/>
        <w:rPr>
          <w:rFonts w:ascii="宋体" w:eastAsia="宋体" w:hAnsi="宋体" w:cs="宋体"/>
          <w:b/>
          <w:bCs/>
          <w:szCs w:val="21"/>
        </w:rPr>
      </w:pPr>
      <w:bookmarkStart w:id="342" w:name="_Toc989233"/>
      <w:r>
        <w:rPr>
          <w:rFonts w:ascii="宋体" w:eastAsia="宋体" w:hAnsi="宋体" w:cs="宋体"/>
          <w:b/>
          <w:bCs/>
          <w:szCs w:val="21"/>
        </w:rPr>
        <w:t>（1） 现金流量表补充资料</w:t>
      </w:r>
      <w:bookmarkEnd w:id="34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补充资料</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上期金额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1．将净利润调节为经营活动现金流量</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净利润</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395,372,744.85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232,462,583.36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加：资产减值准备</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80,961,442.24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116,657,344.63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固定资产折旧、油气资产折耗、生产性生物资产折旧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225,245,359.04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161,050,013.89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使用权资产折旧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无形资产摊销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17,828,785.92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17,991,937.28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长期待摊费用摊销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611,521.93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2,942,499.23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处置固定资产、无形资产和其他长期资产的损失（收益以“－”号填列）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2,345,212.50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1,060,981.28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固定资产报废损失（收益以“－”号填列）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17,716,446.46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1,448,737.85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公允价值变动损失（收益以“－”号填列）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财务费用（收益以“－”号填列）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90,272,432.79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37,525,866.78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投资损失（收益以“－”号填列）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-81,225,239.72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-51,175,037.55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递延所得税资产减少（增加以“－”号填列）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-23,660,451.05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-20,041,786.13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递延所得税负债增加（减少以“－”号填列）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3,695,440.64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1,423,129.56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存货的减少（增加以“－”号填列）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-1,047,366,292.66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-1,179,136,597.79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经营性应收项目的减少（增加以“－”号填列）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-747,005,557.20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-773,423,934.30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lastRenderedPageBreak/>
              <w:t>经营性应付项目的增加（减少以“－”号填列）</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1,287,481,886.28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1,733,361,681.89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9,131,015.55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100,587,232.93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经营活动产生的现金流量净额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231,404,747.57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382,734,652.91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2．不涉及现金收支的重大投资和筹资活动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债务转为资本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一年内到期的可转换公司债</w:t>
            </w:r>
            <w:proofErr w:type="gramStart"/>
            <w:r>
              <w:rPr>
                <w:rFonts w:ascii="宋体" w:eastAsia="宋体" w:hAnsi="宋体" w:cs="宋体"/>
                <w:sz w:val="18"/>
                <w:szCs w:val="18"/>
              </w:rPr>
              <w:t>券</w:t>
            </w:r>
            <w:proofErr w:type="gramEnd"/>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融资租入固定资产</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3．现金及现金等价物净变动情况：</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现金的期末余额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减：现金的期初余额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1,314,478,036.85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加：现金等价物的期末余额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减：现金等价物的期初余额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现金及现金等价物净增加额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-57,175,228.57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396,993,727.28</w:t>
            </w:r>
          </w:p>
        </w:tc>
      </w:tr>
    </w:tbl>
    <w:p w:rsidR="00BA0365" w:rsidRDefault="008D4B2E">
      <w:pPr>
        <w:keepNext/>
        <w:keepLines/>
        <w:spacing w:before="300" w:after="300" w:line="280" w:lineRule="exact"/>
        <w:outlineLvl w:val="3"/>
        <w:rPr>
          <w:rFonts w:ascii="宋体" w:eastAsia="宋体" w:hAnsi="宋体" w:cs="宋体"/>
          <w:b/>
          <w:bCs/>
          <w:szCs w:val="21"/>
        </w:rPr>
      </w:pPr>
      <w:bookmarkStart w:id="343" w:name="_Toc989234"/>
      <w:r>
        <w:rPr>
          <w:rFonts w:ascii="宋体" w:eastAsia="宋体" w:hAnsi="宋体" w:cs="宋体"/>
          <w:b/>
          <w:bCs/>
          <w:szCs w:val="21"/>
        </w:rPr>
        <w:t>（2） 本期收到的处置子公司的现金净额</w:t>
      </w:r>
      <w:bookmarkEnd w:id="34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本期处置子公司于本期收到的现金或现金等价物</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减：丧失控制权日子公司持有的现金及现金等价物</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5,489,234.52</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加：以前期间处置子公司于本期收到的现金或现金等价物</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9,977,000.00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处置子公司收到的现金净额</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55,487,765.48</w:t>
            </w:r>
          </w:p>
        </w:tc>
      </w:tr>
    </w:tbl>
    <w:p w:rsidR="00BA0365" w:rsidRDefault="008D4B2E">
      <w:pPr>
        <w:keepNext/>
        <w:keepLines/>
        <w:spacing w:before="300" w:after="300" w:line="280" w:lineRule="exact"/>
        <w:outlineLvl w:val="3"/>
        <w:rPr>
          <w:rFonts w:ascii="宋体" w:eastAsia="宋体" w:hAnsi="宋体" w:cs="宋体"/>
          <w:b/>
          <w:bCs/>
          <w:szCs w:val="21"/>
        </w:rPr>
      </w:pPr>
      <w:bookmarkStart w:id="344" w:name="_Toc989235"/>
      <w:r>
        <w:rPr>
          <w:rFonts w:ascii="宋体" w:eastAsia="宋体" w:hAnsi="宋体" w:cs="宋体"/>
          <w:b/>
          <w:bCs/>
          <w:szCs w:val="21"/>
        </w:rPr>
        <w:t>（3） 现金和现金等价物的构成</w:t>
      </w:r>
      <w:bookmarkEnd w:id="34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其中：库存现金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751,635.30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619,742.42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可随时用于支付的银行存款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1,653,016,136.48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1,710,845,570.73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可随时用于支付的其他货币资金</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528,763.78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6,450.98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三、期末现金及现金等价物余额</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1,654,296,535.56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1,711,471,764.13</w:t>
            </w:r>
          </w:p>
        </w:tc>
      </w:tr>
    </w:tbl>
    <w:p w:rsidR="00BA0365" w:rsidRDefault="008D4B2E">
      <w:pPr>
        <w:pStyle w:val="3"/>
        <w:spacing w:line="280" w:lineRule="exact"/>
        <w:jc w:val="left"/>
        <w:rPr>
          <w:rFonts w:ascii="宋体" w:hAnsi="宋体" w:cs="宋体"/>
          <w:b/>
          <w:bCs/>
        </w:rPr>
      </w:pPr>
      <w:bookmarkStart w:id="345" w:name="_Toc989236"/>
      <w:r>
        <w:rPr>
          <w:rFonts w:ascii="宋体" w:hAnsi="宋体" w:cs="宋体"/>
          <w:b/>
          <w:bCs/>
        </w:rPr>
        <w:t>59、外币货币性项目</w:t>
      </w:r>
      <w:bookmarkEnd w:id="345"/>
    </w:p>
    <w:p w:rsidR="00BA0365" w:rsidRDefault="008D4B2E">
      <w:pPr>
        <w:keepNext/>
        <w:keepLines/>
        <w:spacing w:before="300" w:after="300" w:line="280" w:lineRule="exact"/>
        <w:outlineLvl w:val="3"/>
        <w:rPr>
          <w:rFonts w:ascii="宋体" w:eastAsia="宋体" w:hAnsi="宋体" w:cs="宋体"/>
          <w:b/>
          <w:bCs/>
          <w:szCs w:val="21"/>
        </w:rPr>
      </w:pPr>
      <w:bookmarkStart w:id="346" w:name="_Toc989237"/>
      <w:r>
        <w:rPr>
          <w:rFonts w:ascii="宋体" w:eastAsia="宋体" w:hAnsi="宋体" w:cs="宋体"/>
          <w:b/>
          <w:bCs/>
          <w:szCs w:val="21"/>
        </w:rPr>
        <w:t>（1） 外币货币性项目</w:t>
      </w:r>
      <w:bookmarkEnd w:id="34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期末外币余额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折算汇率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期末折算人民币余额</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货币资金</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34,411,733.93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7.0827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243,727,987.91</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4,483,623.97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7.8592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35,237,697.51</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 xml:space="preserve">     日元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0.0500</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0.05</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应收账款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rsidP="005D4E78">
            <w:pPr>
              <w:jc w:val="right"/>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111,864,441.23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7.0827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792,302,277.90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10,271,487.34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7.8592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80,725,673.30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 xml:space="preserve">    雷亚尔</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3,952,545.95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1.4655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5,792,456.09</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长期借款</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rsidP="005D4E78">
            <w:pPr>
              <w:jc w:val="right"/>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港币</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合同负债</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rsidP="005D4E78">
            <w:pPr>
              <w:spacing w:line="240" w:lineRule="exact"/>
              <w:jc w:val="right"/>
              <w:rPr>
                <w:rFonts w:ascii="宋体" w:eastAsia="宋体" w:hAnsi="宋体" w:cs="宋体"/>
                <w:sz w:val="18"/>
                <w:szCs w:val="18"/>
              </w:rPr>
            </w:pP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其中：美元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90,099,664.06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7.0827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638,148,890.64</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欧元</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61,746,206.52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rsidP="005D4E78">
            <w:pPr>
              <w:spacing w:line="240" w:lineRule="exact"/>
              <w:jc w:val="right"/>
              <w:rPr>
                <w:rFonts w:ascii="宋体" w:eastAsia="宋体" w:hAnsi="宋体" w:cs="宋体"/>
                <w:sz w:val="18"/>
                <w:szCs w:val="18"/>
              </w:rPr>
            </w:pPr>
            <w:r>
              <w:rPr>
                <w:rFonts w:ascii="宋体" w:eastAsia="宋体" w:hAnsi="宋体" w:cs="宋体"/>
                <w:sz w:val="18"/>
                <w:szCs w:val="18"/>
              </w:rPr>
              <w:t>7.8592</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485,275,786.28</w:t>
            </w:r>
          </w:p>
        </w:tc>
      </w:tr>
    </w:tbl>
    <w:p w:rsidR="00BA0365" w:rsidRDefault="008D4B2E">
      <w:pPr>
        <w:keepNext/>
        <w:keepLines/>
        <w:spacing w:before="300" w:after="300" w:line="280" w:lineRule="exact"/>
        <w:outlineLvl w:val="3"/>
        <w:rPr>
          <w:rFonts w:ascii="宋体" w:eastAsia="宋体" w:hAnsi="宋体" w:cs="宋体"/>
          <w:b/>
          <w:bCs/>
          <w:szCs w:val="21"/>
        </w:rPr>
      </w:pPr>
      <w:bookmarkStart w:id="347" w:name="_Toc989238"/>
      <w:r>
        <w:rPr>
          <w:rFonts w:ascii="宋体" w:eastAsia="宋体" w:hAnsi="宋体" w:cs="宋体"/>
          <w:b/>
          <w:bCs/>
          <w:szCs w:val="21"/>
        </w:rPr>
        <w:t>（2） 境外经营实体说明，包括对于重要的境外经营实体，应披露其境外主要经营地、记账本位币及选择依据，记账本位币发生变化的还应披露原因。</w:t>
      </w:r>
      <w:bookmarkEnd w:id="34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tbl>
      <w:tblPr>
        <w:tblW w:w="9214" w:type="dxa"/>
        <w:tblCellMar>
          <w:left w:w="0" w:type="dxa"/>
          <w:right w:w="0" w:type="dxa"/>
        </w:tblCellMar>
        <w:tblLook w:val="04A0" w:firstRow="1" w:lastRow="0" w:firstColumn="1" w:lastColumn="0" w:noHBand="0" w:noVBand="1"/>
      </w:tblPr>
      <w:tblGrid>
        <w:gridCol w:w="2942"/>
        <w:gridCol w:w="3969"/>
        <w:gridCol w:w="2303"/>
      </w:tblGrid>
      <w:tr w:rsidR="008D4B2E" w:rsidTr="001112C2">
        <w:trPr>
          <w:divId w:val="955717523"/>
          <w:trHeight w:val="425"/>
          <w:tblHeader/>
        </w:trPr>
        <w:tc>
          <w:tcPr>
            <w:tcW w:w="2942" w:type="dxa"/>
            <w:tcBorders>
              <w:top w:val="single" w:sz="8" w:space="0" w:color="auto"/>
              <w:left w:val="single" w:sz="8" w:space="0" w:color="auto"/>
              <w:bottom w:val="single" w:sz="8" w:space="0" w:color="auto"/>
              <w:right w:val="single" w:sz="8" w:space="0" w:color="auto"/>
            </w:tcBorders>
            <w:shd w:val="clear" w:color="auto" w:fill="D3D3D3"/>
            <w:noWrap/>
            <w:tcMar>
              <w:top w:w="0" w:type="dxa"/>
              <w:left w:w="28" w:type="dxa"/>
              <w:bottom w:w="0" w:type="dxa"/>
              <w:right w:w="2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名称</w:t>
            </w:r>
          </w:p>
        </w:tc>
        <w:tc>
          <w:tcPr>
            <w:tcW w:w="3969"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主要经营地</w:t>
            </w:r>
          </w:p>
        </w:tc>
        <w:tc>
          <w:tcPr>
            <w:tcW w:w="2303"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FC6EB6" w:rsidRDefault="008D4B2E" w:rsidP="00FC6EB6">
            <w:pPr>
              <w:spacing w:line="240" w:lineRule="exact"/>
              <w:jc w:val="center"/>
              <w:rPr>
                <w:rFonts w:ascii="宋体" w:eastAsia="宋体" w:hAnsi="宋体" w:cs="宋体"/>
                <w:sz w:val="18"/>
                <w:szCs w:val="18"/>
              </w:rPr>
            </w:pPr>
            <w:r w:rsidRPr="00FC6EB6">
              <w:rPr>
                <w:rFonts w:ascii="宋体" w:eastAsia="宋体" w:hAnsi="宋体" w:cs="宋体" w:hint="eastAsia"/>
                <w:sz w:val="18"/>
                <w:szCs w:val="18"/>
              </w:rPr>
              <w:t>记账本位币</w:t>
            </w:r>
          </w:p>
        </w:tc>
      </w:tr>
      <w:tr w:rsidR="008D4B2E" w:rsidTr="001112C2">
        <w:trPr>
          <w:divId w:val="955717523"/>
          <w:trHeight w:val="425"/>
        </w:trPr>
        <w:tc>
          <w:tcPr>
            <w:tcW w:w="2942"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软控（美洲）</w:t>
            </w:r>
          </w:p>
        </w:tc>
        <w:tc>
          <w:tcPr>
            <w:tcW w:w="396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美国特拉华州</w:t>
            </w:r>
          </w:p>
        </w:tc>
        <w:tc>
          <w:tcPr>
            <w:tcW w:w="230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美元</w:t>
            </w:r>
          </w:p>
        </w:tc>
      </w:tr>
      <w:tr w:rsidR="008D4B2E" w:rsidTr="001112C2">
        <w:trPr>
          <w:divId w:val="955717523"/>
          <w:trHeight w:val="425"/>
        </w:trPr>
        <w:tc>
          <w:tcPr>
            <w:tcW w:w="2942"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sz w:val="18"/>
                <w:szCs w:val="18"/>
              </w:rPr>
              <w:t>WYKO</w:t>
            </w:r>
          </w:p>
        </w:tc>
        <w:tc>
          <w:tcPr>
            <w:tcW w:w="396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英国西米德兰兹郡</w:t>
            </w:r>
          </w:p>
        </w:tc>
        <w:tc>
          <w:tcPr>
            <w:tcW w:w="230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英镑</w:t>
            </w:r>
          </w:p>
        </w:tc>
      </w:tr>
      <w:tr w:rsidR="008D4B2E" w:rsidTr="001112C2">
        <w:trPr>
          <w:divId w:val="955717523"/>
          <w:trHeight w:val="425"/>
        </w:trPr>
        <w:tc>
          <w:tcPr>
            <w:tcW w:w="2942"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sz w:val="18"/>
                <w:szCs w:val="18"/>
              </w:rPr>
              <w:t>Davian</w:t>
            </w:r>
          </w:p>
        </w:tc>
        <w:tc>
          <w:tcPr>
            <w:tcW w:w="396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美国田纳西州</w:t>
            </w:r>
          </w:p>
        </w:tc>
        <w:tc>
          <w:tcPr>
            <w:tcW w:w="230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美元</w:t>
            </w:r>
          </w:p>
        </w:tc>
      </w:tr>
      <w:tr w:rsidR="008D4B2E" w:rsidTr="001112C2">
        <w:trPr>
          <w:divId w:val="955717523"/>
          <w:trHeight w:val="425"/>
        </w:trPr>
        <w:tc>
          <w:tcPr>
            <w:tcW w:w="2942"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proofErr w:type="gramStart"/>
            <w:r w:rsidRPr="00FC6EB6">
              <w:rPr>
                <w:rFonts w:ascii="宋体" w:eastAsia="宋体" w:hAnsi="宋体" w:cs="宋体" w:hint="eastAsia"/>
                <w:sz w:val="18"/>
                <w:szCs w:val="18"/>
              </w:rPr>
              <w:t>软控欧研</w:t>
            </w:r>
            <w:proofErr w:type="gramEnd"/>
          </w:p>
        </w:tc>
        <w:tc>
          <w:tcPr>
            <w:tcW w:w="396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斯洛伐克杜布尼萨市</w:t>
            </w:r>
          </w:p>
        </w:tc>
        <w:tc>
          <w:tcPr>
            <w:tcW w:w="230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欧元</w:t>
            </w:r>
          </w:p>
        </w:tc>
      </w:tr>
      <w:tr w:rsidR="008D4B2E" w:rsidTr="001112C2">
        <w:trPr>
          <w:divId w:val="955717523"/>
          <w:trHeight w:val="425"/>
        </w:trPr>
        <w:tc>
          <w:tcPr>
            <w:tcW w:w="2942"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华中能源</w:t>
            </w:r>
          </w:p>
        </w:tc>
        <w:tc>
          <w:tcPr>
            <w:tcW w:w="396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柬埔寨桔井省斯努县</w:t>
            </w:r>
          </w:p>
        </w:tc>
        <w:tc>
          <w:tcPr>
            <w:tcW w:w="2303"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FC6EB6" w:rsidRDefault="008D4B2E" w:rsidP="00FC6EB6">
            <w:pPr>
              <w:spacing w:line="240" w:lineRule="exact"/>
              <w:rPr>
                <w:rFonts w:ascii="宋体" w:eastAsia="宋体" w:hAnsi="宋体" w:cs="宋体"/>
                <w:sz w:val="18"/>
                <w:szCs w:val="18"/>
              </w:rPr>
            </w:pPr>
            <w:r w:rsidRPr="00FC6EB6">
              <w:rPr>
                <w:rFonts w:ascii="宋体" w:eastAsia="宋体" w:hAnsi="宋体" w:cs="宋体" w:hint="eastAsia"/>
                <w:sz w:val="18"/>
                <w:szCs w:val="18"/>
              </w:rPr>
              <w:t>美元</w:t>
            </w:r>
          </w:p>
        </w:tc>
      </w:tr>
    </w:tbl>
    <w:p w:rsidR="00BA0365" w:rsidRDefault="008D4B2E">
      <w:pPr>
        <w:pStyle w:val="3"/>
        <w:spacing w:line="280" w:lineRule="exact"/>
        <w:jc w:val="left"/>
        <w:rPr>
          <w:rFonts w:ascii="宋体" w:hAnsi="宋体" w:cs="宋体"/>
          <w:b/>
          <w:bCs/>
        </w:rPr>
      </w:pPr>
      <w:bookmarkStart w:id="348" w:name="_Toc989239"/>
      <w:r>
        <w:rPr>
          <w:rFonts w:ascii="宋体" w:hAnsi="宋体" w:cs="宋体"/>
          <w:b/>
          <w:bCs/>
        </w:rPr>
        <w:t>60、租赁</w:t>
      </w:r>
      <w:bookmarkEnd w:id="348"/>
    </w:p>
    <w:p w:rsidR="00BA0365" w:rsidRDefault="008D4B2E">
      <w:pPr>
        <w:keepNext/>
        <w:keepLines/>
        <w:spacing w:before="300" w:after="300" w:line="280" w:lineRule="exact"/>
        <w:outlineLvl w:val="3"/>
        <w:rPr>
          <w:rFonts w:ascii="宋体" w:eastAsia="宋体" w:hAnsi="宋体" w:cs="宋体"/>
          <w:b/>
          <w:bCs/>
          <w:szCs w:val="21"/>
        </w:rPr>
      </w:pPr>
      <w:bookmarkStart w:id="349" w:name="_Toc989240"/>
      <w:r>
        <w:rPr>
          <w:rFonts w:ascii="宋体" w:eastAsia="宋体" w:hAnsi="宋体" w:cs="宋体"/>
          <w:b/>
          <w:bCs/>
          <w:szCs w:val="21"/>
        </w:rPr>
        <w:t>（1） 本公司作为承租方</w:t>
      </w:r>
      <w:bookmarkEnd w:id="34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未纳入租赁负债计量的可变租赁付款额</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简化处理的短期租赁或低价值资产的租赁费用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涉及售后租回交易的情况</w:t>
      </w:r>
    </w:p>
    <w:p w:rsidR="008D4B2E" w:rsidRDefault="008D4B2E">
      <w:pPr>
        <w:pStyle w:val="a3"/>
        <w:divId w:val="1697732502"/>
        <w:rPr>
          <w:sz w:val="18"/>
          <w:szCs w:val="18"/>
        </w:rPr>
      </w:pPr>
      <w:r>
        <w:rPr>
          <w:rFonts w:hint="eastAsia"/>
          <w:sz w:val="18"/>
          <w:szCs w:val="18"/>
        </w:rPr>
        <w:t>无</w:t>
      </w:r>
    </w:p>
    <w:p w:rsidR="00BA0365" w:rsidRDefault="008D4B2E">
      <w:pPr>
        <w:keepNext/>
        <w:keepLines/>
        <w:spacing w:before="300" w:after="300" w:line="280" w:lineRule="exact"/>
        <w:outlineLvl w:val="3"/>
        <w:rPr>
          <w:rFonts w:ascii="宋体" w:eastAsia="宋体" w:hAnsi="宋体" w:cs="宋体"/>
          <w:b/>
          <w:bCs/>
          <w:szCs w:val="21"/>
        </w:rPr>
      </w:pPr>
      <w:bookmarkStart w:id="350" w:name="_Toc989241"/>
      <w:r>
        <w:rPr>
          <w:rFonts w:ascii="宋体" w:eastAsia="宋体" w:hAnsi="宋体" w:cs="宋体"/>
          <w:b/>
          <w:bCs/>
          <w:szCs w:val="21"/>
        </w:rPr>
        <w:lastRenderedPageBreak/>
        <w:t>（2） 本公司作为出租方</w:t>
      </w:r>
      <w:bookmarkEnd w:id="35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作为出租人的经营租赁</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作为出租人的融资租赁</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未来五年每年未折现</w:t>
      </w:r>
      <w:proofErr w:type="gramStart"/>
      <w:r>
        <w:rPr>
          <w:rFonts w:ascii="宋体" w:eastAsia="宋体" w:hAnsi="宋体" w:cs="宋体"/>
          <w:sz w:val="18"/>
          <w:szCs w:val="18"/>
        </w:rPr>
        <w:t>租赁收</w:t>
      </w:r>
      <w:proofErr w:type="gramEnd"/>
      <w:r>
        <w:rPr>
          <w:rFonts w:ascii="宋体" w:eastAsia="宋体" w:hAnsi="宋体" w:cs="宋体"/>
          <w:sz w:val="18"/>
          <w:szCs w:val="18"/>
        </w:rPr>
        <w:t>款额</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未折现</w:t>
      </w:r>
      <w:proofErr w:type="gramStart"/>
      <w:r>
        <w:rPr>
          <w:rFonts w:ascii="宋体" w:eastAsia="宋体" w:hAnsi="宋体" w:cs="宋体"/>
          <w:sz w:val="18"/>
          <w:szCs w:val="18"/>
        </w:rPr>
        <w:t>租赁收</w:t>
      </w:r>
      <w:proofErr w:type="gramEnd"/>
      <w:r>
        <w:rPr>
          <w:rFonts w:ascii="宋体" w:eastAsia="宋体" w:hAnsi="宋体" w:cs="宋体"/>
          <w:sz w:val="18"/>
          <w:szCs w:val="18"/>
        </w:rPr>
        <w:t>款额与租赁投资净额的调节表</w:t>
      </w:r>
    </w:p>
    <w:p w:rsidR="00BA0365" w:rsidRDefault="008D4B2E">
      <w:pPr>
        <w:keepNext/>
        <w:keepLines/>
        <w:spacing w:before="300" w:after="300" w:line="280" w:lineRule="exact"/>
        <w:outlineLvl w:val="3"/>
        <w:rPr>
          <w:rFonts w:ascii="宋体" w:eastAsia="宋体" w:hAnsi="宋体" w:cs="宋体"/>
          <w:b/>
          <w:bCs/>
          <w:szCs w:val="21"/>
        </w:rPr>
      </w:pPr>
      <w:bookmarkStart w:id="351" w:name="_Toc989242"/>
      <w:r>
        <w:rPr>
          <w:rFonts w:ascii="宋体" w:eastAsia="宋体" w:hAnsi="宋体" w:cs="宋体"/>
          <w:b/>
          <w:bCs/>
          <w:szCs w:val="21"/>
        </w:rPr>
        <w:t>（3） 作为生产商或经销商确认融资租赁销售损益</w:t>
      </w:r>
      <w:bookmarkEnd w:id="35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352" w:name="_Toc989244"/>
      <w:r>
        <w:rPr>
          <w:rFonts w:ascii="宋体" w:eastAsia="宋体" w:hAnsi="宋体" w:cs="宋体"/>
          <w:b/>
          <w:bCs/>
          <w:sz w:val="24"/>
          <w:szCs w:val="24"/>
        </w:rPr>
        <w:t>八、研发支出</w:t>
      </w:r>
      <w:bookmarkEnd w:id="35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工资薪金及劳务费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184,144,921.87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149,870,836.54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折旧及摊销</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12,510,201.05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10,032,005.36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交通/差旅/会议费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6,035,123.50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3,925,949.88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中介代理费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4,563,712.73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5,495,037.77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物料消耗费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133,301,805.38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113,256,816.02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租赁费/修理费</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1,944,492.49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1,380,131.07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16,084,811.81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18,978,879.55</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其中：费用化研发支出</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358,585,068.83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302,939,656.19</w:t>
            </w:r>
          </w:p>
        </w:tc>
      </w:tr>
    </w:tbl>
    <w:p w:rsidR="00BA0365" w:rsidRDefault="008D4B2E">
      <w:pPr>
        <w:pStyle w:val="2"/>
        <w:spacing w:before="300" w:after="300" w:line="320" w:lineRule="exact"/>
        <w:rPr>
          <w:rFonts w:ascii="宋体" w:eastAsia="宋体" w:hAnsi="宋体" w:cs="宋体"/>
          <w:b/>
          <w:bCs/>
          <w:sz w:val="24"/>
          <w:szCs w:val="24"/>
        </w:rPr>
      </w:pPr>
      <w:bookmarkStart w:id="353" w:name="_Toc989247"/>
      <w:r>
        <w:rPr>
          <w:rFonts w:ascii="宋体" w:eastAsia="宋体" w:hAnsi="宋体" w:cs="宋体"/>
          <w:b/>
          <w:bCs/>
          <w:sz w:val="24"/>
          <w:szCs w:val="24"/>
        </w:rPr>
        <w:t>九、合并范围的变更</w:t>
      </w:r>
      <w:bookmarkEnd w:id="353"/>
    </w:p>
    <w:p w:rsidR="00BA0365" w:rsidRDefault="008D4B2E">
      <w:pPr>
        <w:pStyle w:val="3"/>
        <w:spacing w:line="280" w:lineRule="exact"/>
        <w:jc w:val="left"/>
        <w:rPr>
          <w:rFonts w:ascii="宋体" w:hAnsi="宋体" w:cs="宋体"/>
          <w:b/>
          <w:bCs/>
        </w:rPr>
      </w:pPr>
      <w:bookmarkStart w:id="354" w:name="_Toc989248"/>
      <w:r>
        <w:rPr>
          <w:rFonts w:ascii="宋体" w:hAnsi="宋体" w:cs="宋体"/>
          <w:b/>
          <w:bCs/>
        </w:rPr>
        <w:t>1、处置子公司</w:t>
      </w:r>
      <w:bookmarkEnd w:id="35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本期是否存在丧失子公司控制权的交易或事项</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是 □否</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2"/>
        <w:gridCol w:w="742"/>
        <w:gridCol w:w="742"/>
        <w:gridCol w:w="742"/>
        <w:gridCol w:w="742"/>
        <w:gridCol w:w="742"/>
        <w:gridCol w:w="741"/>
        <w:gridCol w:w="741"/>
        <w:gridCol w:w="741"/>
        <w:gridCol w:w="741"/>
        <w:gridCol w:w="741"/>
        <w:gridCol w:w="741"/>
        <w:gridCol w:w="741"/>
      </w:tblGrid>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丧失控制权时点的处置价款</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丧失控制权时点的处置比例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丧失控制权时点的处置方式</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丧失控制权的时点</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丧失控制权时点的判断依据</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处置价款与处置投资对应的合并财务报表层面享有该子公司净资</w:t>
            </w:r>
            <w:r>
              <w:rPr>
                <w:rFonts w:ascii="宋体" w:eastAsia="宋体" w:hAnsi="宋体" w:cs="宋体"/>
                <w:sz w:val="18"/>
                <w:szCs w:val="18"/>
              </w:rPr>
              <w:lastRenderedPageBreak/>
              <w:t>产份额的差额</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丧失控制权之日剩余股权的比例</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丧失控制权之日合并财务报表层面剩余股权的账面价值</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丧失控制权之日合并财务报表层面剩余股权的公允价值</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按照公允价值重新计量剩余股权产生的利得或损失</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丧失控制权之日合并财务报表层面剩余股权公允价值的确定方法</w:t>
            </w:r>
            <w:r>
              <w:rPr>
                <w:rFonts w:ascii="宋体" w:eastAsia="宋体" w:hAnsi="宋体" w:cs="宋体"/>
                <w:sz w:val="18"/>
                <w:szCs w:val="18"/>
              </w:rPr>
              <w:lastRenderedPageBreak/>
              <w:t>及主要假设</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lastRenderedPageBreak/>
              <w:t>与原子公司股权投资相关的其他综合收益转入投资损益或留存收</w:t>
            </w:r>
            <w:r>
              <w:rPr>
                <w:rFonts w:ascii="宋体" w:eastAsia="宋体" w:hAnsi="宋体" w:cs="宋体"/>
                <w:sz w:val="18"/>
                <w:szCs w:val="18"/>
              </w:rPr>
              <w:lastRenderedPageBreak/>
              <w:t>益的金额</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青岛软控智能装备有限公司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51,000,000.00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转让</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2023年05月31日</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工商变更完成</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21,495,206.21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是否存在通过多次交易分步处置对子公司投资且在本期丧失控制权的情形</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□是 </w:t>
      </w:r>
      <w:r>
        <w:rPr>
          <w:rFonts w:ascii="宋体" w:eastAsia="宋体" w:hAnsi="宋体" w:cs="宋体"/>
          <w:sz w:val="18"/>
          <w:szCs w:val="18"/>
        </w:rPr>
        <w:sym w:font="Wingdings 2" w:char="F052"/>
      </w:r>
      <w:r>
        <w:rPr>
          <w:rFonts w:ascii="宋体" w:eastAsia="宋体" w:hAnsi="宋体" w:cs="宋体"/>
          <w:sz w:val="18"/>
          <w:szCs w:val="18"/>
        </w:rPr>
        <w:t>否</w:t>
      </w:r>
    </w:p>
    <w:p w:rsidR="00BA0365" w:rsidRDefault="008D4B2E">
      <w:pPr>
        <w:pStyle w:val="3"/>
        <w:spacing w:line="280" w:lineRule="exact"/>
        <w:jc w:val="left"/>
        <w:rPr>
          <w:rFonts w:ascii="宋体" w:hAnsi="宋体" w:cs="宋体"/>
          <w:b/>
          <w:bCs/>
        </w:rPr>
      </w:pPr>
      <w:bookmarkStart w:id="355" w:name="_Toc989249"/>
      <w:r>
        <w:rPr>
          <w:rFonts w:ascii="宋体" w:hAnsi="宋体" w:cs="宋体"/>
          <w:b/>
          <w:bCs/>
        </w:rPr>
        <w:t>2、其他原因的合并范围变动</w:t>
      </w:r>
      <w:bookmarkEnd w:id="355"/>
    </w:p>
    <w:p w:rsidR="00BA0365" w:rsidRDefault="008D4B2E" w:rsidP="00B87081">
      <w:pPr>
        <w:rPr>
          <w:rFonts w:ascii="宋体" w:eastAsia="宋体" w:hAnsi="宋体" w:cs="宋体"/>
          <w:sz w:val="18"/>
          <w:szCs w:val="18"/>
        </w:rPr>
      </w:pPr>
      <w:r>
        <w:rPr>
          <w:rFonts w:ascii="宋体" w:eastAsia="宋体" w:hAnsi="宋体" w:cs="宋体"/>
          <w:sz w:val="18"/>
          <w:szCs w:val="18"/>
        </w:rPr>
        <w:t>说明其他原因导致的合并范围变动（如，新设子公司、清算子公司等）及其相关情况：</w:t>
      </w:r>
    </w:p>
    <w:p w:rsidR="008D4B2E" w:rsidRPr="000C2E93" w:rsidRDefault="008D4B2E" w:rsidP="00B87081">
      <w:pPr>
        <w:ind w:firstLineChars="200" w:firstLine="360"/>
        <w:divId w:val="367997833"/>
        <w:rPr>
          <w:rFonts w:ascii="宋体" w:eastAsia="宋体" w:hAnsi="宋体" w:cs="宋体"/>
          <w:sz w:val="18"/>
          <w:szCs w:val="18"/>
        </w:rPr>
      </w:pPr>
      <w:r w:rsidRPr="000C2E93">
        <w:rPr>
          <w:rFonts w:ascii="宋体" w:eastAsia="宋体" w:hAnsi="宋体" w:cs="宋体" w:hint="eastAsia"/>
          <w:sz w:val="18"/>
          <w:szCs w:val="18"/>
        </w:rPr>
        <w:t>与上年相比本期新增合并单位3家，具体包</w:t>
      </w:r>
      <w:r w:rsidR="00614C8D" w:rsidRPr="00614C8D">
        <w:rPr>
          <w:rFonts w:ascii="宋体" w:eastAsia="宋体" w:hAnsi="宋体" w:cs="宋体"/>
          <w:sz w:val="18"/>
          <w:szCs w:val="18"/>
        </w:rPr>
        <w:t>HKZQ ENERGY AND TECHNOLOGY CO., LTD.</w:t>
      </w:r>
      <w:r w:rsidRPr="000C2E93">
        <w:rPr>
          <w:rFonts w:ascii="宋体" w:eastAsia="宋体" w:hAnsi="宋体" w:cs="宋体" w:hint="eastAsia"/>
          <w:sz w:val="18"/>
          <w:szCs w:val="18"/>
        </w:rPr>
        <w:t>、德州智控新能源发展有限公司、菏泽智控能源发展有限公司，均系本年新投资成立的公司。</w:t>
      </w:r>
    </w:p>
    <w:p w:rsidR="008D4B2E" w:rsidRPr="000C2E93" w:rsidRDefault="008D4B2E" w:rsidP="00B87081">
      <w:pPr>
        <w:ind w:firstLineChars="200" w:firstLine="360"/>
        <w:divId w:val="367997833"/>
        <w:rPr>
          <w:rFonts w:ascii="宋体" w:eastAsia="宋体" w:hAnsi="宋体" w:cs="宋体"/>
          <w:sz w:val="18"/>
          <w:szCs w:val="18"/>
        </w:rPr>
      </w:pPr>
      <w:r w:rsidRPr="000C2E93">
        <w:rPr>
          <w:rFonts w:ascii="宋体" w:eastAsia="宋体" w:hAnsi="宋体" w:cs="宋体" w:hint="eastAsia"/>
          <w:sz w:val="18"/>
          <w:szCs w:val="18"/>
        </w:rPr>
        <w:t>与上年相比本期减少合并单位1家，具体为青岛软控智能装备有限公司，因公司股权转让减少。</w:t>
      </w:r>
    </w:p>
    <w:p w:rsidR="00BA0365" w:rsidRDefault="008D4B2E">
      <w:pPr>
        <w:pStyle w:val="2"/>
        <w:spacing w:before="300" w:after="300" w:line="320" w:lineRule="exact"/>
        <w:rPr>
          <w:rFonts w:ascii="宋体" w:eastAsia="宋体" w:hAnsi="宋体" w:cs="宋体"/>
          <w:b/>
          <w:bCs/>
          <w:sz w:val="24"/>
          <w:szCs w:val="24"/>
        </w:rPr>
      </w:pPr>
      <w:bookmarkStart w:id="356" w:name="_Toc989250"/>
      <w:r>
        <w:rPr>
          <w:rFonts w:ascii="宋体" w:eastAsia="宋体" w:hAnsi="宋体" w:cs="宋体"/>
          <w:b/>
          <w:bCs/>
          <w:sz w:val="24"/>
          <w:szCs w:val="24"/>
        </w:rPr>
        <w:t>十、在其他主体中的权益</w:t>
      </w:r>
      <w:bookmarkEnd w:id="356"/>
    </w:p>
    <w:p w:rsidR="00BA0365" w:rsidRDefault="008D4B2E">
      <w:pPr>
        <w:pStyle w:val="3"/>
        <w:spacing w:line="280" w:lineRule="exact"/>
        <w:jc w:val="left"/>
        <w:rPr>
          <w:rFonts w:ascii="宋体" w:hAnsi="宋体" w:cs="宋体"/>
          <w:b/>
          <w:bCs/>
        </w:rPr>
      </w:pPr>
      <w:bookmarkStart w:id="357" w:name="_Toc989251"/>
      <w:r>
        <w:rPr>
          <w:rFonts w:ascii="宋体" w:hAnsi="宋体" w:cs="宋体"/>
          <w:b/>
          <w:bCs/>
        </w:rPr>
        <w:t>1、在子公司中的权益</w:t>
      </w:r>
      <w:bookmarkEnd w:id="357"/>
    </w:p>
    <w:p w:rsidR="00BA0365" w:rsidRDefault="008D4B2E">
      <w:pPr>
        <w:keepNext/>
        <w:keepLines/>
        <w:spacing w:before="300" w:after="300" w:line="280" w:lineRule="exact"/>
        <w:outlineLvl w:val="3"/>
        <w:rPr>
          <w:rFonts w:ascii="宋体" w:eastAsia="宋体" w:hAnsi="宋体" w:cs="宋体"/>
          <w:b/>
          <w:bCs/>
          <w:sz w:val="18"/>
          <w:szCs w:val="18"/>
        </w:rPr>
      </w:pPr>
      <w:bookmarkStart w:id="358" w:name="_Toc989252"/>
      <w:r>
        <w:rPr>
          <w:rFonts w:ascii="宋体" w:eastAsia="宋体" w:hAnsi="宋体" w:cs="宋体"/>
          <w:b/>
          <w:bCs/>
          <w:sz w:val="18"/>
          <w:szCs w:val="18"/>
        </w:rPr>
        <w:t>（1） 企业集团的构成</w:t>
      </w:r>
      <w:bookmarkEnd w:id="35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1560"/>
        <w:gridCol w:w="812"/>
        <w:gridCol w:w="1314"/>
        <w:gridCol w:w="992"/>
        <w:gridCol w:w="851"/>
        <w:gridCol w:w="850"/>
        <w:gridCol w:w="2018"/>
      </w:tblGrid>
      <w:tr w:rsidR="00157EA0" w:rsidTr="0010486D">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156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注册资本</w:t>
            </w:r>
          </w:p>
        </w:tc>
        <w:tc>
          <w:tcPr>
            <w:tcW w:w="81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主要经营地</w:t>
            </w:r>
          </w:p>
        </w:tc>
        <w:tc>
          <w:tcPr>
            <w:tcW w:w="131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注册地</w:t>
            </w:r>
          </w:p>
        </w:tc>
        <w:tc>
          <w:tcPr>
            <w:tcW w:w="99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业务性质</w:t>
            </w:r>
          </w:p>
        </w:tc>
        <w:tc>
          <w:tcPr>
            <w:tcW w:w="1701"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201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取得方式</w:t>
            </w:r>
          </w:p>
        </w:tc>
      </w:tr>
      <w:tr w:rsidR="00157EA0" w:rsidTr="0010486D">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60"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81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1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99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直接</w:t>
            </w:r>
          </w:p>
        </w:tc>
        <w:tc>
          <w:tcPr>
            <w:tcW w:w="85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间接</w:t>
            </w:r>
          </w:p>
        </w:tc>
        <w:tc>
          <w:tcPr>
            <w:tcW w:w="201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软控机电</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1,200,000,000.00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敬业机械</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北京市西城区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敬业园</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天津</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天津市静海</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敬业机电</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北京市海淀区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大连软控</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庄河</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庄河市光明山镇</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优享供应</w:t>
            </w:r>
            <w:proofErr w:type="gramEnd"/>
            <w:r>
              <w:rPr>
                <w:rFonts w:ascii="宋体" w:eastAsia="宋体" w:hAnsi="宋体" w:cs="宋体"/>
                <w:sz w:val="18"/>
                <w:szCs w:val="18"/>
              </w:rPr>
              <w:t>链</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批发零售</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计量检测</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海</w:t>
            </w:r>
            <w:proofErr w:type="gramStart"/>
            <w:r>
              <w:rPr>
                <w:rFonts w:ascii="宋体" w:eastAsia="宋体" w:hAnsi="宋体" w:cs="宋体"/>
                <w:sz w:val="18"/>
                <w:szCs w:val="18"/>
              </w:rPr>
              <w:t>威物联</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青岛市高新区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海科科技</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青岛市高新区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联合科技</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潍坊</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潍坊市诸城市</w:t>
            </w:r>
            <w:proofErr w:type="gramEnd"/>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科捷自动化</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深圳众源达</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深圳市</w:t>
            </w:r>
            <w:proofErr w:type="gramStart"/>
            <w:r>
              <w:rPr>
                <w:rFonts w:ascii="宋体" w:eastAsia="宋体" w:hAnsi="宋体" w:cs="宋体"/>
                <w:sz w:val="18"/>
                <w:szCs w:val="18"/>
              </w:rPr>
              <w:t>坪山区</w:t>
            </w:r>
            <w:proofErr w:type="gramEnd"/>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艾优信</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青岛市胶州市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朗控清洁</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青岛市崂山区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roofErr w:type="gramStart"/>
            <w:r>
              <w:rPr>
                <w:rFonts w:ascii="宋体" w:eastAsia="宋体" w:hAnsi="宋体" w:cs="宋体"/>
                <w:sz w:val="18"/>
                <w:szCs w:val="18"/>
              </w:rPr>
              <w:t>睿</w:t>
            </w:r>
            <w:proofErr w:type="gramEnd"/>
            <w:r>
              <w:rPr>
                <w:rFonts w:ascii="宋体" w:eastAsia="宋体" w:hAnsi="宋体" w:cs="宋体"/>
                <w:sz w:val="18"/>
                <w:szCs w:val="18"/>
              </w:rPr>
              <w:t>诚</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1,980,000.00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优尼斯通</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智控零碳</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华控赛</w:t>
            </w:r>
            <w:proofErr w:type="gramEnd"/>
            <w:r>
              <w:rPr>
                <w:rFonts w:ascii="宋体" w:eastAsia="宋体" w:hAnsi="宋体" w:cs="宋体"/>
                <w:sz w:val="18"/>
                <w:szCs w:val="18"/>
              </w:rPr>
              <w:t>联</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菏泽智控</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菏泽</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菏泽市东明县</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德州智控</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德州</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德州市平原县</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614C8D">
            <w:pPr>
              <w:spacing w:line="240" w:lineRule="exact"/>
              <w:rPr>
                <w:rFonts w:ascii="宋体" w:eastAsia="宋体" w:hAnsi="宋体" w:cs="宋体"/>
                <w:sz w:val="18"/>
                <w:szCs w:val="18"/>
              </w:rPr>
            </w:pPr>
            <w:r>
              <w:rPr>
                <w:rFonts w:ascii="宋体" w:eastAsia="宋体" w:hAnsi="宋体" w:cs="宋体" w:hint="eastAsia"/>
                <w:sz w:val="18"/>
                <w:szCs w:val="18"/>
              </w:rPr>
              <w:t>华中能源</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10,518,012.17</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柬埔寨</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柬埔寨桔井省</w:t>
            </w:r>
            <w:r>
              <w:rPr>
                <w:rFonts w:ascii="宋体" w:eastAsia="宋体" w:hAnsi="宋体" w:cs="宋体"/>
                <w:sz w:val="18"/>
                <w:szCs w:val="18"/>
              </w:rPr>
              <w:lastRenderedPageBreak/>
              <w:t>斯努县</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抚顺伊科思</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抚顺市东洲区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盘锦市辽东湾新区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276,200,000.00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青岛市黄岛区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64.52%</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软控诸暨</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98,022,494.00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软控科技</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软控欧研</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101,429.00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斯洛伐克杜布尼萨市</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斯洛伐克杜布尼萨市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软控（美洲）</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63.59</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美国特拉华州</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美国特拉华州</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WYKO</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40,061,636.41</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英国西米德兰兹郡</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英国西米德兰兹郡</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Davian</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63.59</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美国田纳西州</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美国田纳西州</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非同</w:t>
            </w:r>
            <w:proofErr w:type="gramStart"/>
            <w:r>
              <w:rPr>
                <w:rFonts w:ascii="宋体" w:eastAsia="宋体" w:hAnsi="宋体" w:cs="宋体"/>
                <w:sz w:val="18"/>
                <w:szCs w:val="18"/>
              </w:rPr>
              <w:t>一控制</w:t>
            </w:r>
            <w:proofErr w:type="gramEnd"/>
            <w:r>
              <w:rPr>
                <w:rFonts w:ascii="宋体" w:eastAsia="宋体" w:hAnsi="宋体" w:cs="宋体"/>
                <w:sz w:val="18"/>
                <w:szCs w:val="18"/>
              </w:rPr>
              <w:t>下企业合并</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青岛云纵</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r w:rsidR="00157EA0" w:rsidTr="0010486D">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浙江叁</w:t>
            </w:r>
            <w:proofErr w:type="gramStart"/>
            <w:r>
              <w:rPr>
                <w:rFonts w:ascii="宋体" w:eastAsia="宋体" w:hAnsi="宋体" w:cs="宋体"/>
                <w:sz w:val="18"/>
                <w:szCs w:val="18"/>
              </w:rPr>
              <w:t>晟</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50,000,000.00</w:t>
            </w:r>
          </w:p>
        </w:tc>
        <w:tc>
          <w:tcPr>
            <w:tcW w:w="81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w:t>
            </w:r>
          </w:p>
        </w:tc>
        <w:tc>
          <w:tcPr>
            <w:tcW w:w="13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绍兴市诸暨市</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服务业</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20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设立</w:t>
            </w:r>
          </w:p>
        </w:tc>
      </w:tr>
    </w:tbl>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p w:rsidR="00BA0365" w:rsidRDefault="008D4B2E">
      <w:pPr>
        <w:keepNext/>
        <w:keepLines/>
        <w:spacing w:before="300" w:after="300" w:line="280" w:lineRule="exact"/>
        <w:outlineLvl w:val="3"/>
        <w:rPr>
          <w:rFonts w:ascii="宋体" w:eastAsia="宋体" w:hAnsi="宋体" w:cs="宋体"/>
          <w:b/>
          <w:bCs/>
          <w:sz w:val="18"/>
          <w:szCs w:val="18"/>
        </w:rPr>
      </w:pPr>
      <w:bookmarkStart w:id="359" w:name="_Toc989253"/>
      <w:r>
        <w:rPr>
          <w:rFonts w:ascii="宋体" w:eastAsia="宋体" w:hAnsi="宋体" w:cs="宋体"/>
          <w:b/>
          <w:bCs/>
          <w:sz w:val="18"/>
          <w:szCs w:val="18"/>
        </w:rPr>
        <w:t>（2） 重要的非全资子公司</w:t>
      </w:r>
      <w:bookmarkEnd w:id="35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少数股东持股比例</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本期归属于少数股东的损益</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本期向少数股东宣告分派的股利</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期末少数股东权益余额</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16,604,459.74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65,319,126.26</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35.48%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12,278,717.91</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117,795,372.92</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软控科技</w:t>
            </w:r>
            <w:proofErr w:type="gramEnd"/>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29,601,650.25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49,304,084.27</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360" w:name="_Toc989254"/>
      <w:r>
        <w:rPr>
          <w:rFonts w:ascii="宋体" w:eastAsia="宋体" w:hAnsi="宋体" w:cs="宋体"/>
          <w:b/>
          <w:bCs/>
          <w:sz w:val="18"/>
          <w:szCs w:val="18"/>
        </w:rPr>
        <w:t>（3） 重要非全资子公司的主要财务信息</w:t>
      </w:r>
      <w:bookmarkEnd w:id="36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1"/>
        <w:gridCol w:w="741"/>
        <w:gridCol w:w="741"/>
        <w:gridCol w:w="741"/>
        <w:gridCol w:w="741"/>
        <w:gridCol w:w="741"/>
        <w:gridCol w:w="744"/>
        <w:gridCol w:w="741"/>
        <w:gridCol w:w="741"/>
        <w:gridCol w:w="741"/>
        <w:gridCol w:w="741"/>
        <w:gridCol w:w="741"/>
        <w:gridCol w:w="744"/>
      </w:tblGrid>
      <w:tr w:rsidR="00157EA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444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449" w:type="dxa"/>
            <w:gridSpan w:val="6"/>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资产合计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负债合计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非流动资产</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资产合计</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非流动负债</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负债合计</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298,947,312.01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126,267,144.22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425,214,456.23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260,223,419.84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25,152,058.21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285,375,478.05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248,382,204.94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128,290,040.19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376,672,245.13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262,584,615.96</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10,465,466.00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273,050,081.96</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502,593,991.17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1,464,198,630.74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1,966,792,621.91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826,383,900.23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788,657,840.73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1,615,041,740.96</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369,146,435.54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1,594,768,052.83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1,963,914,488.37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875,496,859.95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782,141,134.24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1,657,637,994.19</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软控科技</w:t>
            </w:r>
            <w:proofErr w:type="gramEnd"/>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1,694,984,106.77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30,122,072.00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1,725,106,178.77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1,587,973,761.68</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14,952,260.51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1,602,926,022.19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981,372,244.72</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14,732,098.81</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996,104,343.53</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945,648,734.37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5,398,243.37</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951,046,977.74</w:t>
            </w:r>
          </w:p>
        </w:tc>
      </w:tr>
    </w:tbl>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子公司名称</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4284"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综合收益总额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经营活动现金流量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营业收入</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净利润</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综合收益总额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经营活动现金流量</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160,411,9</w:t>
            </w:r>
            <w:r>
              <w:rPr>
                <w:rFonts w:ascii="宋体" w:eastAsia="宋体" w:hAnsi="宋体" w:cs="宋体"/>
                <w:sz w:val="18"/>
                <w:szCs w:val="18"/>
              </w:rPr>
              <w:lastRenderedPageBreak/>
              <w:t>86.93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33,826,26</w:t>
            </w:r>
            <w:r>
              <w:rPr>
                <w:rFonts w:ascii="宋体" w:eastAsia="宋体" w:hAnsi="宋体" w:cs="宋体"/>
                <w:sz w:val="18"/>
                <w:szCs w:val="18"/>
              </w:rPr>
              <w:lastRenderedPageBreak/>
              <w:t>1.17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33,691,99</w:t>
            </w:r>
            <w:r>
              <w:rPr>
                <w:rFonts w:ascii="宋体" w:eastAsia="宋体" w:hAnsi="宋体" w:cs="宋体"/>
                <w:sz w:val="18"/>
                <w:szCs w:val="18"/>
              </w:rPr>
              <w:lastRenderedPageBreak/>
              <w:t>0.26</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32,672,80</w:t>
            </w:r>
            <w:r>
              <w:rPr>
                <w:rFonts w:ascii="宋体" w:eastAsia="宋体" w:hAnsi="宋体" w:cs="宋体"/>
                <w:sz w:val="18"/>
                <w:szCs w:val="18"/>
              </w:rPr>
              <w:lastRenderedPageBreak/>
              <w:t>8.04</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147,315,9</w:t>
            </w:r>
            <w:r>
              <w:rPr>
                <w:rFonts w:ascii="宋体" w:eastAsia="宋体" w:hAnsi="宋体" w:cs="宋体"/>
                <w:sz w:val="18"/>
                <w:szCs w:val="18"/>
              </w:rPr>
              <w:lastRenderedPageBreak/>
              <w:t>25.51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19,173,20</w:t>
            </w:r>
            <w:r>
              <w:rPr>
                <w:rFonts w:ascii="宋体" w:eastAsia="宋体" w:hAnsi="宋体" w:cs="宋体"/>
                <w:sz w:val="18"/>
                <w:szCs w:val="18"/>
              </w:rPr>
              <w:lastRenderedPageBreak/>
              <w:t>9.37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19,173,20</w:t>
            </w:r>
            <w:r>
              <w:rPr>
                <w:rFonts w:ascii="宋体" w:eastAsia="宋体" w:hAnsi="宋体" w:cs="宋体"/>
                <w:sz w:val="18"/>
                <w:szCs w:val="18"/>
              </w:rPr>
              <w:lastRenderedPageBreak/>
              <w:t>9.37</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38,143,53</w:t>
            </w:r>
            <w:r>
              <w:rPr>
                <w:rFonts w:ascii="宋体" w:eastAsia="宋体" w:hAnsi="宋体" w:cs="宋体"/>
                <w:sz w:val="18"/>
                <w:szCs w:val="18"/>
              </w:rPr>
              <w:lastRenderedPageBreak/>
              <w:t>3.56</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991,373,045.69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34,607,434.93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34,607,434.93</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225,745,766.20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533,026,212.88</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2,347,115.79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2,347,115.79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100,941,388.98</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软控科技</w:t>
            </w:r>
            <w:proofErr w:type="gramEnd"/>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555,463,047.90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74,004,125.62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74,004,125.62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160,213,428.82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235,145,323.99</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32,202,709.31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32,202,709.31</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40,937,274.49</w:t>
            </w:r>
          </w:p>
        </w:tc>
      </w:tr>
    </w:tbl>
    <w:p w:rsidR="00BA0365" w:rsidRDefault="008D4B2E">
      <w:pPr>
        <w:pStyle w:val="3"/>
        <w:spacing w:line="280" w:lineRule="exact"/>
        <w:jc w:val="left"/>
        <w:rPr>
          <w:rFonts w:ascii="宋体" w:hAnsi="宋体" w:cs="宋体"/>
          <w:b/>
          <w:bCs/>
        </w:rPr>
      </w:pPr>
      <w:bookmarkStart w:id="361" w:name="_Toc989257"/>
      <w:r>
        <w:rPr>
          <w:rFonts w:ascii="宋体" w:hAnsi="宋体" w:cs="宋体"/>
          <w:b/>
          <w:bCs/>
        </w:rPr>
        <w:t>2、在子公司的所有者权益份额发生变化且仍控制子公司的交易</w:t>
      </w:r>
      <w:bookmarkEnd w:id="361"/>
    </w:p>
    <w:p w:rsidR="00BA0365" w:rsidRDefault="008D4B2E" w:rsidP="00B87081">
      <w:pPr>
        <w:keepNext/>
        <w:keepLines/>
        <w:spacing w:before="300" w:after="300"/>
        <w:outlineLvl w:val="3"/>
        <w:rPr>
          <w:rFonts w:ascii="宋体" w:eastAsia="宋体" w:hAnsi="宋体" w:cs="宋体"/>
          <w:b/>
          <w:bCs/>
          <w:sz w:val="18"/>
          <w:szCs w:val="18"/>
        </w:rPr>
      </w:pPr>
      <w:bookmarkStart w:id="362" w:name="_Toc989258"/>
      <w:r>
        <w:rPr>
          <w:rFonts w:ascii="宋体" w:eastAsia="宋体" w:hAnsi="宋体" w:cs="宋体"/>
          <w:b/>
          <w:bCs/>
          <w:sz w:val="18"/>
          <w:szCs w:val="18"/>
        </w:rPr>
        <w:t>（1） 在子公司所有者权益份额发生变化的情况说明</w:t>
      </w:r>
      <w:bookmarkEnd w:id="362"/>
    </w:p>
    <w:p w:rsidR="008D4B2E" w:rsidRDefault="008D4B2E" w:rsidP="00B87081">
      <w:pPr>
        <w:pStyle w:val="a3"/>
        <w:ind w:firstLineChars="200" w:firstLine="360"/>
        <w:divId w:val="825167658"/>
        <w:rPr>
          <w:sz w:val="18"/>
          <w:szCs w:val="18"/>
        </w:rPr>
      </w:pPr>
      <w:r>
        <w:rPr>
          <w:rFonts w:hint="eastAsia"/>
          <w:sz w:val="18"/>
          <w:szCs w:val="18"/>
        </w:rPr>
        <w:t>公司于2023年12月2日发布公告《关于购买控股子公司股权的公告》，决议购买软控（诸暨）全部少数股东权益，本次购买的股份比例为48.9913%，购买后公司持有软控（诸暨）100%股权。</w:t>
      </w:r>
    </w:p>
    <w:p w:rsidR="00BA0365" w:rsidRDefault="008D4B2E">
      <w:pPr>
        <w:keepNext/>
        <w:keepLines/>
        <w:spacing w:before="300" w:after="300" w:line="280" w:lineRule="exact"/>
        <w:outlineLvl w:val="3"/>
        <w:rPr>
          <w:rFonts w:ascii="宋体" w:eastAsia="宋体" w:hAnsi="宋体" w:cs="宋体"/>
          <w:b/>
          <w:bCs/>
          <w:sz w:val="18"/>
          <w:szCs w:val="18"/>
        </w:rPr>
      </w:pPr>
      <w:bookmarkStart w:id="363" w:name="_Toc989259"/>
      <w:r>
        <w:rPr>
          <w:rFonts w:ascii="宋体" w:eastAsia="宋体" w:hAnsi="宋体" w:cs="宋体"/>
          <w:b/>
          <w:bCs/>
          <w:sz w:val="18"/>
          <w:szCs w:val="18"/>
        </w:rPr>
        <w:t>（2） 交易对于少数股东权益及归属于母公司所有者权益的影响</w:t>
      </w:r>
      <w:bookmarkEnd w:id="363"/>
    </w:p>
    <w:p w:rsidR="0010486D" w:rsidRDefault="0010486D">
      <w:pPr>
        <w:keepNext/>
        <w:keepLines/>
        <w:spacing w:before="300" w:after="300" w:line="280" w:lineRule="exact"/>
        <w:outlineLvl w:val="3"/>
        <w:rPr>
          <w:rFonts w:ascii="宋体" w:eastAsia="宋体" w:hAnsi="宋体" w:cs="宋体"/>
          <w:b/>
          <w:bCs/>
          <w:sz w:val="18"/>
          <w:szCs w:val="18"/>
        </w:rPr>
      </w:pP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819"/>
      </w:tblGrid>
      <w:tr w:rsidR="00157EA0" w:rsidTr="00152E2B">
        <w:trPr>
          <w:trHeight w:val="240"/>
        </w:trPr>
        <w:tc>
          <w:tcPr>
            <w:tcW w:w="4820" w:type="dxa"/>
            <w:shd w:val="clear" w:color="auto" w:fill="D3D3D3"/>
            <w:vAlign w:val="center"/>
          </w:tcPr>
          <w:p w:rsidR="00BA0365" w:rsidRDefault="00BA0365"/>
        </w:tc>
        <w:tc>
          <w:tcPr>
            <w:tcW w:w="4820" w:type="dxa"/>
            <w:vAlign w:val="center"/>
          </w:tcPr>
          <w:p w:rsidR="00BA0365" w:rsidRDefault="00BA0365">
            <w:pPr>
              <w:spacing w:line="240" w:lineRule="exact"/>
              <w:jc w:val="center"/>
              <w:rPr>
                <w:rFonts w:ascii="宋体" w:eastAsia="宋体" w:hAnsi="宋体" w:cs="宋体"/>
                <w:sz w:val="18"/>
                <w:szCs w:val="18"/>
              </w:rPr>
            </w:pP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购买成本/处置对价</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192,090,000.00</w:t>
            </w: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--现金</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192,090,000.00</w:t>
            </w: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--非现金资产的公允价值</w:t>
            </w:r>
          </w:p>
        </w:tc>
        <w:tc>
          <w:tcPr>
            <w:tcW w:w="4820" w:type="dxa"/>
            <w:vAlign w:val="center"/>
          </w:tcPr>
          <w:p w:rsidR="00BA0365" w:rsidRDefault="00BA0365">
            <w:pPr>
              <w:spacing w:line="240" w:lineRule="exact"/>
              <w:jc w:val="right"/>
              <w:rPr>
                <w:rFonts w:ascii="宋体" w:eastAsia="宋体" w:hAnsi="宋体" w:cs="宋体"/>
                <w:sz w:val="18"/>
                <w:szCs w:val="18"/>
              </w:rPr>
            </w:pPr>
          </w:p>
        </w:tc>
      </w:tr>
      <w:tr w:rsidR="00157EA0" w:rsidTr="00152E2B">
        <w:trPr>
          <w:trHeight w:val="240"/>
        </w:trPr>
        <w:tc>
          <w:tcPr>
            <w:tcW w:w="4820" w:type="dxa"/>
            <w:vAlign w:val="center"/>
          </w:tcPr>
          <w:p w:rsidR="00BA0365" w:rsidRDefault="00BA0365">
            <w:pPr>
              <w:spacing w:line="240" w:lineRule="exact"/>
              <w:rPr>
                <w:rFonts w:ascii="宋体" w:eastAsia="宋体" w:hAnsi="宋体" w:cs="宋体"/>
                <w:sz w:val="18"/>
                <w:szCs w:val="18"/>
              </w:rPr>
            </w:pPr>
          </w:p>
        </w:tc>
        <w:tc>
          <w:tcPr>
            <w:tcW w:w="4820" w:type="dxa"/>
            <w:vAlign w:val="center"/>
          </w:tcPr>
          <w:p w:rsidR="00BA0365" w:rsidRDefault="00BA0365">
            <w:pPr>
              <w:spacing w:line="240" w:lineRule="exact"/>
              <w:jc w:val="right"/>
              <w:rPr>
                <w:rFonts w:ascii="宋体" w:eastAsia="宋体" w:hAnsi="宋体" w:cs="宋体"/>
                <w:sz w:val="18"/>
                <w:szCs w:val="18"/>
              </w:rPr>
            </w:pP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购买成本/处置对价合计</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192,090,000.00</w:t>
            </w: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减：按取得/处置的股权比例计算的子公司净资产份额</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191,450,563.26</w:t>
            </w: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差额</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639,436.74</w:t>
            </w:r>
          </w:p>
        </w:tc>
      </w:tr>
      <w:tr w:rsidR="00157EA0" w:rsidTr="00152E2B">
        <w:trPr>
          <w:trHeight w:val="240"/>
        </w:trPr>
        <w:tc>
          <w:tcPr>
            <w:tcW w:w="4820" w:type="dxa"/>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其中：调整资本公积</w:t>
            </w:r>
          </w:p>
        </w:tc>
        <w:tc>
          <w:tcPr>
            <w:tcW w:w="4820" w:type="dxa"/>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639,436.74</w:t>
            </w:r>
          </w:p>
        </w:tc>
      </w:tr>
      <w:tr w:rsidR="00157EA0" w:rsidTr="00152E2B">
        <w:trPr>
          <w:trHeight w:val="240"/>
        </w:trPr>
        <w:tc>
          <w:tcPr>
            <w:tcW w:w="4820" w:type="dxa"/>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调整盈余公积</w:t>
            </w:r>
          </w:p>
        </w:tc>
        <w:tc>
          <w:tcPr>
            <w:tcW w:w="4820" w:type="dxa"/>
            <w:vAlign w:val="center"/>
          </w:tcPr>
          <w:p w:rsidR="00BA0365" w:rsidRDefault="00BA0365">
            <w:pPr>
              <w:spacing w:line="240" w:lineRule="exact"/>
              <w:jc w:val="right"/>
              <w:rPr>
                <w:rFonts w:ascii="宋体" w:eastAsia="宋体" w:hAnsi="宋体" w:cs="宋体"/>
                <w:sz w:val="18"/>
                <w:szCs w:val="18"/>
              </w:rPr>
            </w:pPr>
          </w:p>
        </w:tc>
      </w:tr>
      <w:tr w:rsidR="00157EA0" w:rsidTr="00152E2B">
        <w:trPr>
          <w:trHeight w:val="240"/>
        </w:trPr>
        <w:tc>
          <w:tcPr>
            <w:tcW w:w="4820" w:type="dxa"/>
            <w:shd w:val="clear" w:color="auto" w:fill="D3D3D3"/>
            <w:vAlign w:val="center"/>
          </w:tcPr>
          <w:p w:rsidR="00BA0365" w:rsidRDefault="008D4B2E">
            <w:pPr>
              <w:spacing w:before="40" w:after="40" w:line="240" w:lineRule="exact"/>
              <w:ind w:firstLineChars="300" w:firstLine="540"/>
              <w:rPr>
                <w:rFonts w:ascii="宋体" w:eastAsia="宋体" w:hAnsi="宋体" w:cs="宋体"/>
                <w:sz w:val="18"/>
                <w:szCs w:val="18"/>
              </w:rPr>
            </w:pPr>
            <w:r>
              <w:rPr>
                <w:rFonts w:ascii="宋体" w:eastAsia="宋体" w:hAnsi="宋体" w:cs="宋体"/>
                <w:sz w:val="18"/>
                <w:szCs w:val="18"/>
              </w:rPr>
              <w:t>调整未分配利润</w:t>
            </w:r>
          </w:p>
        </w:tc>
        <w:tc>
          <w:tcPr>
            <w:tcW w:w="4820" w:type="dxa"/>
            <w:vAlign w:val="center"/>
          </w:tcPr>
          <w:p w:rsidR="00BA0365" w:rsidRDefault="00BA0365">
            <w:pPr>
              <w:spacing w:line="240" w:lineRule="exact"/>
              <w:jc w:val="right"/>
              <w:rPr>
                <w:rFonts w:ascii="宋体" w:eastAsia="宋体" w:hAnsi="宋体" w:cs="宋体"/>
                <w:sz w:val="18"/>
                <w:szCs w:val="18"/>
              </w:rPr>
            </w:pPr>
          </w:p>
        </w:tc>
      </w:tr>
    </w:tbl>
    <w:p w:rsidR="00BA0365" w:rsidRDefault="008D4B2E">
      <w:pPr>
        <w:pStyle w:val="3"/>
        <w:spacing w:line="280" w:lineRule="exact"/>
        <w:jc w:val="left"/>
        <w:rPr>
          <w:rFonts w:ascii="宋体" w:hAnsi="宋体" w:cs="宋体"/>
          <w:b/>
          <w:bCs/>
        </w:rPr>
      </w:pPr>
      <w:bookmarkStart w:id="364" w:name="_Toc989260"/>
      <w:r>
        <w:rPr>
          <w:rFonts w:ascii="宋体" w:hAnsi="宋体" w:cs="宋体"/>
          <w:b/>
          <w:bCs/>
        </w:rPr>
        <w:t>3、在合营安排或联营企业中的权益</w:t>
      </w:r>
      <w:bookmarkEnd w:id="364"/>
    </w:p>
    <w:p w:rsidR="00BA0365" w:rsidRDefault="008D4B2E">
      <w:pPr>
        <w:keepNext/>
        <w:keepLines/>
        <w:spacing w:before="300" w:after="300" w:line="280" w:lineRule="exact"/>
        <w:outlineLvl w:val="3"/>
        <w:rPr>
          <w:rFonts w:ascii="宋体" w:eastAsia="宋体" w:hAnsi="宋体" w:cs="宋体"/>
          <w:b/>
          <w:bCs/>
          <w:szCs w:val="21"/>
        </w:rPr>
      </w:pPr>
      <w:bookmarkStart w:id="365" w:name="_Toc989261"/>
      <w:r>
        <w:rPr>
          <w:rFonts w:ascii="宋体" w:eastAsia="宋体" w:hAnsi="宋体" w:cs="宋体"/>
          <w:b/>
          <w:bCs/>
          <w:szCs w:val="21"/>
        </w:rPr>
        <w:t>（1） 重要的合营企业或联营企业</w:t>
      </w:r>
      <w:bookmarkEnd w:id="365"/>
    </w:p>
    <w:tbl>
      <w:tblPr>
        <w:tblW w:w="9639" w:type="dxa"/>
        <w:tblLayout w:type="fixed"/>
        <w:tblLook w:val="04A0" w:firstRow="1" w:lastRow="0" w:firstColumn="1" w:lastColumn="0" w:noHBand="0" w:noVBand="1"/>
      </w:tblPr>
      <w:tblGrid>
        <w:gridCol w:w="1557"/>
        <w:gridCol w:w="1197"/>
        <w:gridCol w:w="1377"/>
        <w:gridCol w:w="1377"/>
        <w:gridCol w:w="1010"/>
        <w:gridCol w:w="992"/>
        <w:gridCol w:w="2129"/>
      </w:tblGrid>
      <w:tr w:rsidR="00157EA0" w:rsidTr="00152E2B">
        <w:trPr>
          <w:trHeight w:val="240"/>
        </w:trPr>
        <w:tc>
          <w:tcPr>
            <w:tcW w:w="155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合营企业或联营企业名称</w:t>
            </w:r>
          </w:p>
        </w:tc>
        <w:tc>
          <w:tcPr>
            <w:tcW w:w="119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主要经营地</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注册地</w:t>
            </w:r>
          </w:p>
        </w:tc>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业务性质</w:t>
            </w:r>
          </w:p>
        </w:tc>
        <w:tc>
          <w:tcPr>
            <w:tcW w:w="200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持股比例</w:t>
            </w:r>
          </w:p>
        </w:tc>
        <w:tc>
          <w:tcPr>
            <w:tcW w:w="2129"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对合营企业或联营企业投资的会计处理方法</w:t>
            </w:r>
          </w:p>
        </w:tc>
      </w:tr>
      <w:tr w:rsidR="00157EA0" w:rsidTr="00152E2B">
        <w:trPr>
          <w:trHeight w:val="240"/>
        </w:trPr>
        <w:tc>
          <w:tcPr>
            <w:tcW w:w="155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19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直接</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间接</w:t>
            </w:r>
          </w:p>
        </w:tc>
        <w:tc>
          <w:tcPr>
            <w:tcW w:w="2129"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152E2B">
        <w:trPr>
          <w:trHeight w:val="240"/>
        </w:trPr>
        <w:tc>
          <w:tcPr>
            <w:tcW w:w="155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119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简阳</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简阳市工业园区</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制造业</w:t>
            </w:r>
          </w:p>
        </w:tc>
        <w:tc>
          <w:tcPr>
            <w:tcW w:w="10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12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权益法</w:t>
            </w:r>
          </w:p>
        </w:tc>
      </w:tr>
      <w:tr w:rsidR="00157EA0" w:rsidTr="00152E2B">
        <w:trPr>
          <w:trHeight w:val="240"/>
        </w:trPr>
        <w:tc>
          <w:tcPr>
            <w:tcW w:w="155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119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青岛市市北区</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投资</w:t>
            </w:r>
          </w:p>
        </w:tc>
        <w:tc>
          <w:tcPr>
            <w:tcW w:w="10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212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权益法</w:t>
            </w:r>
          </w:p>
        </w:tc>
      </w:tr>
    </w:tbl>
    <w:p w:rsidR="00BA0365" w:rsidRDefault="008D4B2E">
      <w:pPr>
        <w:keepNext/>
        <w:keepLines/>
        <w:spacing w:before="300" w:after="300" w:line="280" w:lineRule="exact"/>
        <w:outlineLvl w:val="3"/>
        <w:rPr>
          <w:rFonts w:ascii="宋体" w:eastAsia="宋体" w:hAnsi="宋体" w:cs="宋体"/>
          <w:b/>
          <w:bCs/>
          <w:szCs w:val="21"/>
        </w:rPr>
      </w:pPr>
      <w:bookmarkStart w:id="366" w:name="_Toc989262"/>
      <w:r>
        <w:rPr>
          <w:rFonts w:ascii="宋体" w:eastAsia="宋体" w:hAnsi="宋体" w:cs="宋体"/>
          <w:b/>
          <w:bCs/>
          <w:szCs w:val="21"/>
        </w:rPr>
        <w:t>（2） 重要联营企业的主要财务信息</w:t>
      </w:r>
      <w:bookmarkEnd w:id="36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6" w:type="dxa"/>
        <w:tblLayout w:type="fixed"/>
        <w:tblLook w:val="04A0" w:firstRow="1" w:lastRow="0" w:firstColumn="1" w:lastColumn="0" w:noHBand="0" w:noVBand="1"/>
      </w:tblPr>
      <w:tblGrid>
        <w:gridCol w:w="3541"/>
        <w:gridCol w:w="1559"/>
        <w:gridCol w:w="1560"/>
        <w:gridCol w:w="1559"/>
        <w:gridCol w:w="1417"/>
      </w:tblGrid>
      <w:tr w:rsidR="00673BAF" w:rsidTr="00673BAF">
        <w:trPr>
          <w:trHeight w:val="240"/>
        </w:trPr>
        <w:tc>
          <w:tcPr>
            <w:tcW w:w="35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tc>
        <w:tc>
          <w:tcPr>
            <w:tcW w:w="3119"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期末余额/本期发生额</w:t>
            </w:r>
          </w:p>
        </w:tc>
        <w:tc>
          <w:tcPr>
            <w:tcW w:w="297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期初余额/上期发生额</w:t>
            </w:r>
          </w:p>
        </w:tc>
      </w:tr>
      <w:tr w:rsidR="00673BAF" w:rsidRPr="00673BAF" w:rsidTr="00673BAF">
        <w:trPr>
          <w:trHeight w:val="240"/>
        </w:trPr>
        <w:tc>
          <w:tcPr>
            <w:tcW w:w="35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rsidP="0010486D">
            <w:pPr>
              <w:spacing w:line="240" w:lineRule="exact"/>
              <w:jc w:val="center"/>
              <w:rPr>
                <w:rFonts w:ascii="宋体" w:eastAsia="宋体" w:hAnsi="宋体" w:cs="宋体"/>
                <w:sz w:val="18"/>
                <w:szCs w:val="18"/>
              </w:rPr>
            </w:pPr>
            <w:r>
              <w:rPr>
                <w:rFonts w:ascii="宋体" w:eastAsia="宋体" w:hAnsi="宋体" w:cs="宋体"/>
                <w:sz w:val="18"/>
                <w:szCs w:val="18"/>
              </w:rPr>
              <w:t>四川凯力威科技股份有限公司</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rsidP="0010486D">
            <w:pPr>
              <w:spacing w:line="240" w:lineRule="exact"/>
              <w:jc w:val="center"/>
              <w:rPr>
                <w:rFonts w:ascii="宋体" w:eastAsia="宋体" w:hAnsi="宋体" w:cs="宋体"/>
                <w:sz w:val="18"/>
                <w:szCs w:val="18"/>
              </w:rPr>
            </w:pPr>
            <w:r>
              <w:rPr>
                <w:rFonts w:ascii="宋体" w:eastAsia="宋体" w:hAnsi="宋体" w:cs="宋体"/>
                <w:sz w:val="18"/>
                <w:szCs w:val="18"/>
              </w:rPr>
              <w:t>青岛华商汇通控股有限公司</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rsidP="0010486D">
            <w:pPr>
              <w:spacing w:line="240" w:lineRule="exact"/>
              <w:jc w:val="center"/>
              <w:rPr>
                <w:rFonts w:ascii="宋体" w:eastAsia="宋体" w:hAnsi="宋体" w:cs="宋体"/>
                <w:sz w:val="18"/>
                <w:szCs w:val="18"/>
              </w:rPr>
            </w:pPr>
            <w:r>
              <w:rPr>
                <w:rFonts w:ascii="宋体" w:eastAsia="宋体" w:hAnsi="宋体" w:cs="宋体"/>
                <w:sz w:val="18"/>
                <w:szCs w:val="18"/>
              </w:rPr>
              <w:t>四川凯力威科技股份有限公司</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rsidP="0010486D">
            <w:pPr>
              <w:spacing w:line="240" w:lineRule="exact"/>
              <w:jc w:val="center"/>
              <w:rPr>
                <w:rFonts w:ascii="宋体" w:eastAsia="宋体" w:hAnsi="宋体" w:cs="宋体"/>
                <w:sz w:val="18"/>
                <w:szCs w:val="18"/>
              </w:rPr>
            </w:pPr>
            <w:r>
              <w:rPr>
                <w:rFonts w:ascii="宋体" w:eastAsia="宋体" w:hAnsi="宋体" w:cs="宋体"/>
                <w:sz w:val="18"/>
                <w:szCs w:val="18"/>
              </w:rPr>
              <w:t>青岛华商汇通控股有限公司</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流动资产</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432,004,310.27</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13,104,871.03</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446,432,766.04</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8,413,523.36</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lastRenderedPageBreak/>
              <w:t>非流动资产</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503,745,303.55</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192,134,391.56</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538,703,106.17</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191,644,264.07</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资产合计</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935,749,613.82</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205,239,262.59</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985,135,872.21</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200,057,787.43</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流动负债</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674,556,402.65</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2,099,740.00</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729,319,287.84</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-4,848,725.50</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非流动负债</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0.00</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负债合计</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674,556,402.65</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2,099,740.00</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729,319,287.84</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-4,848,725.50</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少数股东权益</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归属于母公司股东权益</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261,193,211.17</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203,139,522.59</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255,816,584.37</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204,906,512.93</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按持股比例计算的净资产份额</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52,238,642.23</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60,941,856.78</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51,163,316.87</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61,471,953.88</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调整事项</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--商誉</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--内部交易未实现利润</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--其他</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对联营企业权益投资的账面价值</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52,166,364.42</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64,746,581.59</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51,163,316.87</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63,767,708.45</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存在公开报价的联营企业权益投资的公允价值</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营业收入</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967,577,177.04</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1,055,014,512.60</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净利润</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13,015,237.77</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3,262,910.47</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9,510,041.98</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3,463,366.63</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终止经营的净利润</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其他综合收益</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综合收益总额</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13,015,237.77</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3,262,910.47</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9,510,041.98</w:t>
            </w: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3,463,366.63</w:t>
            </w:r>
          </w:p>
        </w:tc>
      </w:tr>
      <w:tr w:rsidR="00673BAF" w:rsidTr="00673BAF">
        <w:trPr>
          <w:trHeight w:val="240"/>
        </w:trPr>
        <w:tc>
          <w:tcPr>
            <w:tcW w:w="3541" w:type="dxa"/>
            <w:tcBorders>
              <w:top w:val="single" w:sz="2" w:space="0" w:color="auto"/>
              <w:left w:val="single" w:sz="2" w:space="0" w:color="auto"/>
              <w:bottom w:val="single" w:sz="2" w:space="0" w:color="auto"/>
              <w:right w:val="single" w:sz="2" w:space="0" w:color="auto"/>
            </w:tcBorders>
            <w:shd w:val="clear" w:color="auto" w:fill="D3D3D3"/>
            <w:vAlign w:val="center"/>
          </w:tcPr>
          <w:p w:rsidR="00673BAF" w:rsidRDefault="00673BAF">
            <w:pPr>
              <w:spacing w:before="40" w:after="40" w:line="240" w:lineRule="exact"/>
              <w:rPr>
                <w:rFonts w:ascii="宋体" w:eastAsia="宋体" w:hAnsi="宋体" w:cs="宋体"/>
                <w:sz w:val="18"/>
                <w:szCs w:val="18"/>
              </w:rPr>
            </w:pPr>
            <w:r>
              <w:rPr>
                <w:rFonts w:ascii="宋体" w:eastAsia="宋体" w:hAnsi="宋体" w:cs="宋体"/>
                <w:sz w:val="18"/>
                <w:szCs w:val="18"/>
              </w:rPr>
              <w:t>本年度收到的来自联营企业的股利</w:t>
            </w: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r>
              <w:rPr>
                <w:rFonts w:ascii="宋体" w:eastAsia="宋体" w:hAnsi="宋体" w:cs="宋体"/>
                <w:sz w:val="18"/>
                <w:szCs w:val="18"/>
              </w:rPr>
              <w:t>1,600,000.00</w:t>
            </w:r>
          </w:p>
        </w:tc>
        <w:tc>
          <w:tcPr>
            <w:tcW w:w="1560"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c>
          <w:tcPr>
            <w:tcW w:w="1417" w:type="dxa"/>
            <w:tcBorders>
              <w:top w:val="single" w:sz="2" w:space="0" w:color="auto"/>
              <w:left w:val="single" w:sz="2" w:space="0" w:color="auto"/>
              <w:bottom w:val="single" w:sz="2" w:space="0" w:color="auto"/>
              <w:right w:val="single" w:sz="2" w:space="0" w:color="auto"/>
            </w:tcBorders>
            <w:vAlign w:val="center"/>
          </w:tcPr>
          <w:p w:rsidR="00673BAF" w:rsidRDefault="00673BAF">
            <w:pPr>
              <w:spacing w:line="240" w:lineRule="exact"/>
              <w:jc w:val="right"/>
              <w:rPr>
                <w:rFonts w:ascii="宋体" w:eastAsia="宋体" w:hAnsi="宋体" w:cs="宋体"/>
                <w:sz w:val="18"/>
                <w:szCs w:val="18"/>
              </w:rPr>
            </w:pPr>
          </w:p>
        </w:tc>
      </w:tr>
    </w:tbl>
    <w:p w:rsidR="00BA0365" w:rsidRDefault="008D4B2E">
      <w:pPr>
        <w:pStyle w:val="2"/>
        <w:spacing w:before="300" w:after="300" w:line="320" w:lineRule="exact"/>
        <w:rPr>
          <w:rFonts w:ascii="宋体" w:eastAsia="宋体" w:hAnsi="宋体" w:cs="宋体"/>
          <w:b/>
          <w:bCs/>
          <w:sz w:val="24"/>
          <w:szCs w:val="24"/>
        </w:rPr>
      </w:pPr>
      <w:bookmarkStart w:id="367" w:name="_Toc989263"/>
      <w:r>
        <w:rPr>
          <w:rFonts w:ascii="宋体" w:eastAsia="宋体" w:hAnsi="宋体" w:cs="宋体"/>
          <w:b/>
          <w:bCs/>
          <w:sz w:val="24"/>
          <w:szCs w:val="24"/>
        </w:rPr>
        <w:t>十一、政府补助</w:t>
      </w:r>
      <w:bookmarkEnd w:id="367"/>
    </w:p>
    <w:p w:rsidR="00BA0365" w:rsidRDefault="008D4B2E">
      <w:pPr>
        <w:pStyle w:val="3"/>
        <w:spacing w:line="280" w:lineRule="exact"/>
        <w:jc w:val="left"/>
        <w:rPr>
          <w:rFonts w:ascii="宋体" w:hAnsi="宋体" w:cs="宋体"/>
          <w:b/>
          <w:bCs/>
        </w:rPr>
      </w:pPr>
      <w:bookmarkStart w:id="368" w:name="_Toc989264"/>
      <w:r>
        <w:rPr>
          <w:rFonts w:ascii="宋体" w:hAnsi="宋体" w:cs="宋体"/>
          <w:b/>
          <w:bCs/>
        </w:rPr>
        <w:t>1、报告期末按应收金额确认的政府补助</w:t>
      </w:r>
      <w:bookmarkEnd w:id="36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未能在预计时点收到预计金额的政府补助的原因</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369" w:name="_Toc989265"/>
      <w:r>
        <w:rPr>
          <w:rFonts w:ascii="宋体" w:hAnsi="宋体" w:cs="宋体"/>
          <w:b/>
          <w:bCs/>
        </w:rPr>
        <w:t>2、涉及政府补助的负债项目</w:t>
      </w:r>
      <w:bookmarkEnd w:id="36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370" w:name="_Toc989266"/>
      <w:r>
        <w:rPr>
          <w:rFonts w:ascii="宋体" w:hAnsi="宋体" w:cs="宋体"/>
          <w:b/>
          <w:bCs/>
        </w:rPr>
        <w:t>3、计入当期损益的政府补助</w:t>
      </w:r>
      <w:bookmarkEnd w:id="37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会计科目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rsidTr="00152E2B">
        <w:trPr>
          <w:trHeight w:val="308"/>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35,995,882.44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33,303,453.40</w:t>
            </w:r>
          </w:p>
        </w:tc>
      </w:tr>
    </w:tbl>
    <w:p w:rsidR="00BA0365" w:rsidRDefault="008D4B2E">
      <w:pPr>
        <w:pStyle w:val="2"/>
        <w:spacing w:before="300" w:after="300" w:line="320" w:lineRule="exact"/>
        <w:rPr>
          <w:rFonts w:ascii="宋体" w:eastAsia="宋体" w:hAnsi="宋体" w:cs="宋体"/>
          <w:b/>
          <w:bCs/>
          <w:sz w:val="24"/>
          <w:szCs w:val="24"/>
        </w:rPr>
      </w:pPr>
      <w:bookmarkStart w:id="371" w:name="_Toc989267"/>
      <w:r>
        <w:rPr>
          <w:rFonts w:ascii="宋体" w:eastAsia="宋体" w:hAnsi="宋体" w:cs="宋体"/>
          <w:b/>
          <w:bCs/>
          <w:sz w:val="24"/>
          <w:szCs w:val="24"/>
        </w:rPr>
        <w:lastRenderedPageBreak/>
        <w:t>十二、与金融工具相关的风险</w:t>
      </w:r>
      <w:bookmarkEnd w:id="371"/>
    </w:p>
    <w:p w:rsidR="00BA0365" w:rsidRDefault="008D4B2E">
      <w:pPr>
        <w:pStyle w:val="3"/>
        <w:spacing w:line="280" w:lineRule="exact"/>
        <w:jc w:val="left"/>
        <w:rPr>
          <w:rFonts w:ascii="宋体" w:hAnsi="宋体" w:cs="宋体"/>
          <w:b/>
          <w:bCs/>
        </w:rPr>
      </w:pPr>
      <w:bookmarkStart w:id="372" w:name="_Toc989268"/>
      <w:r>
        <w:rPr>
          <w:rFonts w:ascii="宋体" w:hAnsi="宋体" w:cs="宋体"/>
          <w:b/>
          <w:bCs/>
        </w:rPr>
        <w:t>1、金融工具产生的各类风险</w:t>
      </w:r>
      <w:bookmarkEnd w:id="372"/>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本公司的主要金融工具包括股权投资、应收账款、应付账款等，各项金融工具的详细情况说明见本附注</w:t>
      </w:r>
      <w:proofErr w:type="gramStart"/>
      <w:r w:rsidRPr="000C2E93">
        <w:rPr>
          <w:rFonts w:ascii="宋体" w:eastAsia="宋体" w:hAnsi="宋体" w:cs="宋体" w:hint="eastAsia"/>
          <w:sz w:val="18"/>
          <w:szCs w:val="18"/>
        </w:rPr>
        <w:t>六相关</w:t>
      </w:r>
      <w:proofErr w:type="gramEnd"/>
      <w:r w:rsidRPr="000C2E93">
        <w:rPr>
          <w:rFonts w:ascii="宋体" w:eastAsia="宋体" w:hAnsi="宋体" w:cs="宋体" w:hint="eastAsia"/>
          <w:sz w:val="18"/>
          <w:szCs w:val="18"/>
        </w:rPr>
        <w:t>项目。与这些金融工具有关的风险，以及本公司为降低这些风险所采取的风险管理政策如下所述。本公司管理层对这些风险敞口进行管理和监控以确保将上述风险控制在限定的范围之内。</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sz w:val="18"/>
          <w:szCs w:val="18"/>
        </w:rPr>
        <w:t>1</w:t>
      </w:r>
      <w:r w:rsidRPr="000C2E93">
        <w:rPr>
          <w:rFonts w:ascii="宋体" w:eastAsia="宋体" w:hAnsi="宋体" w:cs="宋体" w:hint="eastAsia"/>
          <w:sz w:val="18"/>
          <w:szCs w:val="18"/>
        </w:rPr>
        <w:t>、</w:t>
      </w:r>
      <w:r w:rsidRPr="000C2E93">
        <w:rPr>
          <w:rFonts w:ascii="宋体" w:eastAsia="宋体" w:hAnsi="宋体" w:cs="宋体"/>
          <w:sz w:val="18"/>
          <w:szCs w:val="18"/>
        </w:rPr>
        <w:t xml:space="preserve"> </w:t>
      </w:r>
      <w:r w:rsidRPr="000C2E93">
        <w:rPr>
          <w:rFonts w:ascii="宋体" w:eastAsia="宋体" w:hAnsi="宋体" w:cs="宋体" w:hint="eastAsia"/>
          <w:sz w:val="18"/>
          <w:szCs w:val="18"/>
        </w:rPr>
        <w:t>风险管理目标和政策</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从事风险管理的目标是在风险和收益之间取得适当的平衡，力求降低金融风险对本公司财务业绩的不利影响。基于该风险管理目标，本公司已制定风险管理政策以辨别和分析本公司所面临的风险，设定适当的风险可接受水平并设计相应的内部控制程序，以监控本公司的风险水平。本公司会定期审阅这些风险管理政策及有关内部控制系统，以适应市场情况或本公司经营活动的改变。本公司的内部审计部门也定期或随机检查内部控制系统的执行是否符合风险管理政策。</w:t>
      </w:r>
    </w:p>
    <w:p w:rsidR="008D4B2E" w:rsidRPr="000C2E93" w:rsidRDefault="008D4B2E" w:rsidP="00B87081">
      <w:pPr>
        <w:divId w:val="1240990478"/>
        <w:rPr>
          <w:rFonts w:ascii="宋体" w:eastAsia="宋体" w:hAnsi="宋体" w:cs="宋体"/>
          <w:sz w:val="18"/>
          <w:szCs w:val="18"/>
        </w:rPr>
      </w:pPr>
      <w:r w:rsidRPr="000C2E93">
        <w:rPr>
          <w:rFonts w:ascii="宋体" w:eastAsia="宋体" w:hAnsi="宋体" w:cs="宋体" w:hint="eastAsia"/>
          <w:sz w:val="18"/>
          <w:szCs w:val="18"/>
        </w:rPr>
        <w:t>本公司的金融工具导致的主要风险是是信用风险及流动性风险。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w:t>
      </w:r>
      <w:r w:rsidRPr="000C2E93">
        <w:rPr>
          <w:rFonts w:ascii="宋体" w:eastAsia="宋体" w:hAnsi="宋体" w:cs="宋体"/>
          <w:sz w:val="18"/>
          <w:szCs w:val="18"/>
        </w:rPr>
        <w:t>1</w:t>
      </w:r>
      <w:r w:rsidRPr="000C2E93">
        <w:rPr>
          <w:rFonts w:ascii="宋体" w:eastAsia="宋体" w:hAnsi="宋体" w:cs="宋体" w:hint="eastAsia"/>
          <w:sz w:val="18"/>
          <w:szCs w:val="18"/>
        </w:rPr>
        <w:t>）信用风险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信用风险，是指金融工具的一方不履行义务，造成另一方发生财务损失的风险。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本公司对信用风险按组合分类进行管理。信用风险主要产生于银行存款和应收款项等。</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本公司银行存款主要存放于国有银行和其它大中型上市银行，本公司预期银行存款不存在重大的信用风险。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对于应收款项，本公司设定相关政策以控制信用风险敞口。本公司基于对债务人的财务状况、外部评级、从第三方获取担保的可能性、信用记录及其它因素诸如目前市场状况等评估债务人的信用资质并设置相应欠款额度与信用期限。本公司会定期对债务人信用记录进行监控，对于信用记录不良的债务人，本公司会采用书面催款、缩短信用期或取消信用期等方式，以确保本公司的整体信用风险在可控的范围内。</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本公司所承受的最大信用风险敞口为资产负债表中每项金融资产的账面金额。本公司没有提供任何其他可能令本公司承受信用风险的担保。</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w:t>
      </w:r>
      <w:r w:rsidRPr="000C2E93">
        <w:rPr>
          <w:rFonts w:ascii="宋体" w:eastAsia="宋体" w:hAnsi="宋体" w:cs="宋体"/>
          <w:sz w:val="18"/>
          <w:szCs w:val="18"/>
        </w:rPr>
        <w:t>2</w:t>
      </w:r>
      <w:r w:rsidRPr="000C2E93">
        <w:rPr>
          <w:rFonts w:ascii="宋体" w:eastAsia="宋体" w:hAnsi="宋体" w:cs="宋体" w:hint="eastAsia"/>
          <w:sz w:val="18"/>
          <w:szCs w:val="18"/>
        </w:rPr>
        <w:t>）流动风险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流动性风险，是指本公司在履行以交付现金或其他金融资产的方式结算的义务时发生资金短缺的风险。</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管理流动风险时，本公司保持管理层认为充分的现金及现金等价物并对其进行监控，以满足本公司经营需要，并降低现金流量波动的影响。</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本公司通过经营业务产生的资金来筹措营运资金。</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sz w:val="18"/>
          <w:szCs w:val="18"/>
        </w:rPr>
        <w:t>2</w:t>
      </w:r>
      <w:r w:rsidRPr="000C2E93">
        <w:rPr>
          <w:rFonts w:ascii="宋体" w:eastAsia="宋体" w:hAnsi="宋体" w:cs="宋体" w:hint="eastAsia"/>
          <w:sz w:val="18"/>
          <w:szCs w:val="18"/>
        </w:rPr>
        <w:t>、</w:t>
      </w:r>
      <w:r w:rsidRPr="000C2E93">
        <w:rPr>
          <w:rFonts w:ascii="宋体" w:eastAsia="宋体" w:hAnsi="宋体" w:cs="宋体"/>
          <w:sz w:val="18"/>
          <w:szCs w:val="18"/>
        </w:rPr>
        <w:t xml:space="preserve"> </w:t>
      </w:r>
      <w:r w:rsidRPr="000C2E93">
        <w:rPr>
          <w:rFonts w:ascii="宋体" w:eastAsia="宋体" w:hAnsi="宋体" w:cs="宋体" w:hint="eastAsia"/>
          <w:sz w:val="18"/>
          <w:szCs w:val="18"/>
        </w:rPr>
        <w:t>资本管理</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本公司资本管理政策的目标是为了保障本公司能够持续经营，从而为股东提供回报，并使其他利益相关者获益，同时维持最佳的资本结构以降低资本成本。</w:t>
      </w:r>
    </w:p>
    <w:p w:rsidR="008D4B2E" w:rsidRPr="000C2E93" w:rsidRDefault="008D4B2E" w:rsidP="00B87081">
      <w:pPr>
        <w:ind w:firstLineChars="200" w:firstLine="360"/>
        <w:divId w:val="1240990478"/>
        <w:rPr>
          <w:rFonts w:ascii="宋体" w:eastAsia="宋体" w:hAnsi="宋体" w:cs="宋体"/>
          <w:sz w:val="18"/>
          <w:szCs w:val="18"/>
        </w:rPr>
      </w:pPr>
      <w:r w:rsidRPr="000C2E93">
        <w:rPr>
          <w:rFonts w:ascii="宋体" w:eastAsia="宋体" w:hAnsi="宋体" w:cs="宋体" w:hint="eastAsia"/>
          <w:sz w:val="18"/>
          <w:szCs w:val="18"/>
        </w:rPr>
        <w:t>为了维持或调整资本结构，本公司可能会调整支付给股东的股利金额、向股东返还资本、发行新股或出售资产以减低债务。</w:t>
      </w:r>
    </w:p>
    <w:p w:rsidR="00BA0365" w:rsidRDefault="008D4B2E">
      <w:pPr>
        <w:pStyle w:val="3"/>
        <w:spacing w:line="280" w:lineRule="exact"/>
        <w:jc w:val="left"/>
        <w:rPr>
          <w:rFonts w:ascii="宋体" w:hAnsi="宋体" w:cs="宋体"/>
          <w:b/>
          <w:bCs/>
        </w:rPr>
      </w:pPr>
      <w:bookmarkStart w:id="373" w:name="_Toc989269"/>
      <w:r>
        <w:rPr>
          <w:rFonts w:ascii="宋体" w:hAnsi="宋体" w:cs="宋体"/>
          <w:b/>
          <w:bCs/>
        </w:rPr>
        <w:t>2、套期</w:t>
      </w:r>
      <w:bookmarkEnd w:id="373"/>
    </w:p>
    <w:p w:rsidR="00BA0365" w:rsidRDefault="008D4B2E">
      <w:pPr>
        <w:keepNext/>
        <w:keepLines/>
        <w:spacing w:before="300" w:after="300" w:line="280" w:lineRule="exact"/>
        <w:outlineLvl w:val="4"/>
        <w:rPr>
          <w:rFonts w:ascii="宋体" w:eastAsia="宋体" w:hAnsi="宋体" w:cs="宋体"/>
          <w:b/>
          <w:bCs/>
          <w:sz w:val="18"/>
          <w:szCs w:val="18"/>
        </w:rPr>
      </w:pPr>
      <w:bookmarkStart w:id="374" w:name="_Toc989270"/>
      <w:r>
        <w:rPr>
          <w:rFonts w:ascii="宋体" w:eastAsia="宋体" w:hAnsi="宋体" w:cs="宋体"/>
          <w:b/>
          <w:bCs/>
          <w:sz w:val="18"/>
          <w:szCs w:val="18"/>
        </w:rPr>
        <w:t>（1） 公司开展套期业务进行风险管理</w:t>
      </w:r>
      <w:bookmarkEnd w:id="37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4"/>
        <w:rPr>
          <w:rFonts w:ascii="宋体" w:eastAsia="宋体" w:hAnsi="宋体" w:cs="宋体"/>
          <w:b/>
          <w:bCs/>
          <w:sz w:val="18"/>
          <w:szCs w:val="18"/>
        </w:rPr>
      </w:pPr>
      <w:bookmarkStart w:id="375" w:name="_Toc989271"/>
      <w:r>
        <w:rPr>
          <w:rFonts w:ascii="宋体" w:eastAsia="宋体" w:hAnsi="宋体" w:cs="宋体"/>
          <w:b/>
          <w:bCs/>
          <w:sz w:val="18"/>
          <w:szCs w:val="18"/>
        </w:rPr>
        <w:lastRenderedPageBreak/>
        <w:t>（2） 公司开展符合条件套期业务并应用套期会计</w:t>
      </w:r>
      <w:bookmarkEnd w:id="375"/>
    </w:p>
    <w:p w:rsidR="00BA0365" w:rsidRDefault="008D4B2E">
      <w:pPr>
        <w:keepNext/>
        <w:keepLines/>
        <w:spacing w:before="300" w:after="300" w:line="280" w:lineRule="exact"/>
        <w:outlineLvl w:val="3"/>
        <w:rPr>
          <w:rFonts w:ascii="宋体" w:eastAsia="宋体" w:hAnsi="宋体" w:cs="宋体"/>
          <w:b/>
          <w:bCs/>
          <w:sz w:val="18"/>
          <w:szCs w:val="18"/>
        </w:rPr>
      </w:pPr>
      <w:bookmarkStart w:id="376" w:name="_Toc989272"/>
      <w:r>
        <w:rPr>
          <w:rFonts w:ascii="宋体" w:eastAsia="宋体" w:hAnsi="宋体" w:cs="宋体"/>
          <w:b/>
          <w:bCs/>
          <w:sz w:val="18"/>
          <w:szCs w:val="18"/>
        </w:rPr>
        <w:t>（3） 公司开展套期业务进行风险管理、预期能实现风险管理目标但未应用套期会计</w:t>
      </w:r>
      <w:bookmarkEnd w:id="37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377" w:name="_Toc989273"/>
      <w:r>
        <w:rPr>
          <w:rFonts w:ascii="宋体" w:hAnsi="宋体" w:cs="宋体"/>
          <w:b/>
          <w:bCs/>
        </w:rPr>
        <w:t>3、金融资产</w:t>
      </w:r>
      <w:bookmarkEnd w:id="377"/>
    </w:p>
    <w:p w:rsidR="00BA0365" w:rsidRDefault="008D4B2E">
      <w:pPr>
        <w:keepNext/>
        <w:keepLines/>
        <w:spacing w:before="300" w:after="300" w:line="280" w:lineRule="exact"/>
        <w:outlineLvl w:val="3"/>
        <w:rPr>
          <w:rFonts w:ascii="宋体" w:eastAsia="宋体" w:hAnsi="宋体" w:cs="宋体"/>
          <w:b/>
          <w:bCs/>
          <w:sz w:val="18"/>
          <w:szCs w:val="18"/>
        </w:rPr>
      </w:pPr>
      <w:bookmarkStart w:id="378" w:name="_Toc989274"/>
      <w:r>
        <w:rPr>
          <w:rFonts w:ascii="宋体" w:eastAsia="宋体" w:hAnsi="宋体" w:cs="宋体"/>
          <w:b/>
          <w:bCs/>
          <w:sz w:val="18"/>
          <w:szCs w:val="18"/>
        </w:rPr>
        <w:t>（1） 转移方式分类</w:t>
      </w:r>
      <w:bookmarkEnd w:id="378"/>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379" w:name="_Toc989275"/>
      <w:r>
        <w:rPr>
          <w:rFonts w:ascii="宋体" w:eastAsia="宋体" w:hAnsi="宋体" w:cs="宋体"/>
          <w:b/>
          <w:bCs/>
          <w:sz w:val="18"/>
          <w:szCs w:val="18"/>
        </w:rPr>
        <w:t>（2） 因转移而终止确认的金融资产</w:t>
      </w:r>
      <w:bookmarkEnd w:id="379"/>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 w:val="18"/>
          <w:szCs w:val="18"/>
        </w:rPr>
      </w:pPr>
      <w:bookmarkStart w:id="380" w:name="_Toc989276"/>
      <w:r>
        <w:rPr>
          <w:rFonts w:ascii="宋体" w:eastAsia="宋体" w:hAnsi="宋体" w:cs="宋体"/>
          <w:b/>
          <w:bCs/>
          <w:sz w:val="18"/>
          <w:szCs w:val="18"/>
        </w:rPr>
        <w:t>（3） 继续涉入的资产转移金融资产</w:t>
      </w:r>
      <w:bookmarkEnd w:id="38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2"/>
        <w:spacing w:before="300" w:after="300" w:line="320" w:lineRule="exact"/>
        <w:rPr>
          <w:rFonts w:ascii="宋体" w:eastAsia="宋体" w:hAnsi="宋体" w:cs="宋体"/>
          <w:b/>
          <w:bCs/>
          <w:sz w:val="24"/>
          <w:szCs w:val="24"/>
        </w:rPr>
      </w:pPr>
      <w:bookmarkStart w:id="381" w:name="_Toc989277"/>
      <w:r>
        <w:rPr>
          <w:rFonts w:ascii="宋体" w:eastAsia="宋体" w:hAnsi="宋体" w:cs="宋体"/>
          <w:b/>
          <w:bCs/>
          <w:sz w:val="24"/>
          <w:szCs w:val="24"/>
        </w:rPr>
        <w:t>十三、公允价值的披露</w:t>
      </w:r>
      <w:bookmarkEnd w:id="381"/>
    </w:p>
    <w:p w:rsidR="00BA0365" w:rsidRDefault="008D4B2E">
      <w:pPr>
        <w:pStyle w:val="3"/>
        <w:spacing w:line="280" w:lineRule="exact"/>
        <w:jc w:val="left"/>
        <w:rPr>
          <w:rFonts w:ascii="宋体" w:hAnsi="宋体" w:cs="宋体"/>
          <w:b/>
          <w:bCs/>
        </w:rPr>
      </w:pPr>
      <w:bookmarkStart w:id="382" w:name="_Toc989278"/>
      <w:r>
        <w:rPr>
          <w:rFonts w:ascii="宋体" w:hAnsi="宋体" w:cs="宋体"/>
          <w:b/>
          <w:bCs/>
        </w:rPr>
        <w:t>1、以公允价值计量的资产和负债的期末公允价值</w:t>
      </w:r>
      <w:bookmarkEnd w:id="38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27"/>
        <w:gridCol w:w="1559"/>
        <w:gridCol w:w="1559"/>
        <w:gridCol w:w="1560"/>
        <w:gridCol w:w="1734"/>
      </w:tblGrid>
      <w:tr w:rsidR="00157EA0" w:rsidTr="0010486D">
        <w:trPr>
          <w:trHeight w:val="240"/>
        </w:trPr>
        <w:tc>
          <w:tcPr>
            <w:tcW w:w="322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6412"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期末公允价值</w:t>
            </w:r>
          </w:p>
        </w:tc>
      </w:tr>
      <w:tr w:rsidR="00157EA0" w:rsidTr="0010486D">
        <w:trPr>
          <w:trHeight w:val="240"/>
        </w:trPr>
        <w:tc>
          <w:tcPr>
            <w:tcW w:w="322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第一层次公允价值计量</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第二层次公允价值计量</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第三层次公允价值计量</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一、持续的公允价值计量</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（一）交易性金融资产</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1.以公允价值计量且其变动计入当期损益的金融资产</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（4）银行理财产品</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（三）其他权益工具投资</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59,641,039.50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422,682,853.95</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482,323,893.45</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（六）应收款项融资</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176,770,743.91</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持续以公允价值计量的资产总额</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59,641,039.50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650,001,001.00</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599,453,597.86</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1,309,095,638.36</w:t>
            </w:r>
          </w:p>
        </w:tc>
      </w:tr>
      <w:tr w:rsidR="00157EA0" w:rsidTr="0010486D">
        <w:trPr>
          <w:trHeight w:val="240"/>
        </w:trPr>
        <w:tc>
          <w:tcPr>
            <w:tcW w:w="32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二、非持续的公允价值计量</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362F1D">
      <w:pPr>
        <w:pStyle w:val="3"/>
        <w:spacing w:line="280" w:lineRule="exact"/>
        <w:jc w:val="left"/>
        <w:rPr>
          <w:rFonts w:ascii="宋体" w:hAnsi="宋体" w:cs="宋体"/>
          <w:b/>
          <w:bCs/>
        </w:rPr>
      </w:pPr>
      <w:bookmarkStart w:id="383" w:name="_Toc989281"/>
      <w:r>
        <w:rPr>
          <w:rFonts w:ascii="宋体" w:hAnsi="宋体" w:cs="宋体"/>
          <w:b/>
          <w:bCs/>
        </w:rPr>
        <w:t>2</w:t>
      </w:r>
      <w:r w:rsidR="008D4B2E">
        <w:rPr>
          <w:rFonts w:ascii="宋体" w:hAnsi="宋体" w:cs="宋体"/>
          <w:b/>
          <w:bCs/>
        </w:rPr>
        <w:t>、持续和非持续第三层次公允价值计量项目，采用的估值技术和重要参数的定性及定量信息</w:t>
      </w:r>
      <w:bookmarkEnd w:id="383"/>
    </w:p>
    <w:p w:rsidR="008D4B2E" w:rsidRDefault="008D4B2E" w:rsidP="0010486D">
      <w:pPr>
        <w:pStyle w:val="a3"/>
        <w:spacing w:before="0" w:beforeAutospacing="0" w:after="0" w:afterAutospacing="0" w:line="400" w:lineRule="atLeast"/>
        <w:ind w:firstLine="400"/>
        <w:jc w:val="both"/>
        <w:divId w:val="1732457974"/>
        <w:rPr>
          <w:rFonts w:ascii="Arial" w:hAnsi="Arial" w:cs="Arial"/>
          <w:sz w:val="18"/>
          <w:szCs w:val="18"/>
        </w:rPr>
      </w:pPr>
      <w:r>
        <w:rPr>
          <w:rFonts w:cs="Arial" w:hint="eastAsia"/>
          <w:sz w:val="18"/>
          <w:szCs w:val="18"/>
        </w:rPr>
        <w:t>持续和非持续第三层次公允价值计量项目，采用的估值技术和重要参数的定性及定量信息对于不存在活跃市场交易的其他权益工具投资，公司对其他权益工具投资的和交易性金融资产的权益工具投资单位即不控制、共同控制，也不具有重大影响，系非上市或挂牌流通的企业股权，因用以确定公允价值的近期信息不足，因此本公司均采用成本计量。</w:t>
      </w:r>
    </w:p>
    <w:p w:rsidR="00BA0365" w:rsidRDefault="008D4B2E">
      <w:pPr>
        <w:pStyle w:val="2"/>
        <w:spacing w:before="300" w:after="300" w:line="320" w:lineRule="exact"/>
        <w:rPr>
          <w:rFonts w:ascii="宋体" w:eastAsia="宋体" w:hAnsi="宋体" w:cs="宋体"/>
          <w:b/>
          <w:bCs/>
          <w:sz w:val="24"/>
          <w:szCs w:val="24"/>
        </w:rPr>
      </w:pPr>
      <w:bookmarkStart w:id="384" w:name="_Toc989287"/>
      <w:r>
        <w:rPr>
          <w:rFonts w:ascii="宋体" w:eastAsia="宋体" w:hAnsi="宋体" w:cs="宋体"/>
          <w:b/>
          <w:bCs/>
          <w:sz w:val="24"/>
          <w:szCs w:val="24"/>
        </w:rPr>
        <w:lastRenderedPageBreak/>
        <w:t>十四、关联方及关联交易</w:t>
      </w:r>
      <w:bookmarkEnd w:id="384"/>
    </w:p>
    <w:p w:rsidR="00BA0365" w:rsidRDefault="008D4B2E">
      <w:pPr>
        <w:pStyle w:val="3"/>
        <w:spacing w:line="280" w:lineRule="exact"/>
        <w:jc w:val="left"/>
        <w:rPr>
          <w:rFonts w:ascii="宋体" w:hAnsi="宋体" w:cs="宋体"/>
          <w:b/>
          <w:bCs/>
        </w:rPr>
      </w:pPr>
      <w:bookmarkStart w:id="385" w:name="_Toc989288"/>
      <w:r>
        <w:rPr>
          <w:rFonts w:ascii="宋体" w:hAnsi="宋体" w:cs="宋体"/>
          <w:b/>
          <w:bCs/>
        </w:rPr>
        <w:t>1、本企业的母公司情况</w:t>
      </w:r>
      <w:bookmarkEnd w:id="385"/>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本企业的母公司情况的说明</w:t>
      </w:r>
    </w:p>
    <w:tbl>
      <w:tblPr>
        <w:tblW w:w="9526" w:type="dxa"/>
        <w:tblCellMar>
          <w:left w:w="0" w:type="dxa"/>
          <w:right w:w="0" w:type="dxa"/>
        </w:tblCellMar>
        <w:tblLook w:val="04A0" w:firstRow="1" w:lastRow="0" w:firstColumn="1" w:lastColumn="0" w:noHBand="0" w:noVBand="1"/>
      </w:tblPr>
      <w:tblGrid>
        <w:gridCol w:w="2802"/>
        <w:gridCol w:w="2186"/>
        <w:gridCol w:w="2186"/>
        <w:gridCol w:w="2352"/>
      </w:tblGrid>
      <w:tr w:rsidR="008D4B2E" w:rsidTr="00362F1D">
        <w:trPr>
          <w:divId w:val="1048996220"/>
          <w:trHeight w:val="397"/>
          <w:tblHeader/>
        </w:trPr>
        <w:tc>
          <w:tcPr>
            <w:tcW w:w="2802" w:type="dxa"/>
            <w:tcBorders>
              <w:top w:val="single" w:sz="8" w:space="0" w:color="auto"/>
              <w:left w:val="single" w:sz="8" w:space="0" w:color="auto"/>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控股股东名称</w:t>
            </w:r>
          </w:p>
        </w:tc>
        <w:tc>
          <w:tcPr>
            <w:tcW w:w="2186"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对本公司持股比例</w:t>
            </w:r>
            <w:r w:rsidRPr="000C2E93">
              <w:rPr>
                <w:rFonts w:ascii="宋体" w:eastAsia="宋体" w:hAnsi="宋体" w:cs="宋体"/>
                <w:sz w:val="18"/>
                <w:szCs w:val="18"/>
              </w:rPr>
              <w:t>%</w:t>
            </w:r>
          </w:p>
        </w:tc>
        <w:tc>
          <w:tcPr>
            <w:tcW w:w="2186"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对本公司表决权比例</w:t>
            </w:r>
            <w:r w:rsidRPr="000C2E93">
              <w:rPr>
                <w:rFonts w:ascii="宋体" w:eastAsia="宋体" w:hAnsi="宋体" w:cs="宋体"/>
                <w:sz w:val="18"/>
                <w:szCs w:val="18"/>
              </w:rPr>
              <w:t>%</w:t>
            </w:r>
          </w:p>
        </w:tc>
        <w:tc>
          <w:tcPr>
            <w:tcW w:w="2352" w:type="dxa"/>
            <w:tcBorders>
              <w:top w:val="single" w:sz="8" w:space="0" w:color="auto"/>
              <w:left w:val="nil"/>
              <w:bottom w:val="single" w:sz="8" w:space="0" w:color="auto"/>
              <w:right w:val="single" w:sz="8" w:space="0" w:color="auto"/>
            </w:tcBorders>
            <w:shd w:val="clear" w:color="auto" w:fill="D3D3D3"/>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与本公司关系</w:t>
            </w:r>
          </w:p>
        </w:tc>
      </w:tr>
      <w:tr w:rsidR="008D4B2E" w:rsidTr="00362F1D">
        <w:trPr>
          <w:divId w:val="1048996220"/>
          <w:trHeight w:val="397"/>
        </w:trPr>
        <w:tc>
          <w:tcPr>
            <w:tcW w:w="2802"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袁仲雪</w:t>
            </w:r>
          </w:p>
        </w:tc>
        <w:tc>
          <w:tcPr>
            <w:tcW w:w="21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sz w:val="18"/>
                <w:szCs w:val="18"/>
              </w:rPr>
              <w:t>14.36</w:t>
            </w:r>
          </w:p>
        </w:tc>
        <w:tc>
          <w:tcPr>
            <w:tcW w:w="218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sz w:val="18"/>
                <w:szCs w:val="18"/>
              </w:rPr>
              <w:t>14.36</w:t>
            </w:r>
          </w:p>
        </w:tc>
        <w:tc>
          <w:tcPr>
            <w:tcW w:w="235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控股股东、实际控制人</w:t>
            </w:r>
          </w:p>
        </w:tc>
      </w:tr>
    </w:tbl>
    <w:p w:rsidR="0010486D" w:rsidRDefault="008D4B2E" w:rsidP="00B87081">
      <w:pPr>
        <w:divId w:val="1048996220"/>
        <w:rPr>
          <w:rFonts w:ascii="宋体" w:eastAsia="宋体" w:hAnsi="宋体" w:cs="宋体"/>
          <w:sz w:val="18"/>
          <w:szCs w:val="18"/>
        </w:rPr>
      </w:pPr>
      <w:r w:rsidRPr="000C2E93">
        <w:rPr>
          <w:rFonts w:ascii="宋体" w:eastAsia="宋体" w:hAnsi="宋体" w:cs="宋体" w:hint="eastAsia"/>
          <w:sz w:val="18"/>
          <w:szCs w:val="18"/>
        </w:rPr>
        <w:t>说明：</w:t>
      </w:r>
    </w:p>
    <w:p w:rsidR="008D4B2E" w:rsidRPr="000C2E93" w:rsidRDefault="008D4B2E" w:rsidP="00B87081">
      <w:pPr>
        <w:ind w:firstLineChars="200" w:firstLine="360"/>
        <w:divId w:val="1048996220"/>
        <w:rPr>
          <w:rFonts w:ascii="宋体" w:eastAsia="宋体" w:hAnsi="宋体" w:cs="宋体"/>
          <w:sz w:val="18"/>
          <w:szCs w:val="18"/>
        </w:rPr>
      </w:pPr>
      <w:r w:rsidRPr="000C2E93">
        <w:rPr>
          <w:rFonts w:ascii="宋体" w:eastAsia="宋体" w:hAnsi="宋体" w:cs="宋体" w:hint="eastAsia"/>
          <w:sz w:val="18"/>
          <w:szCs w:val="18"/>
        </w:rPr>
        <w:t>公司控股股东袁仲雪先生及其控股的青岛瑞元鼎辉控股有限公司共持有公司股份</w:t>
      </w:r>
      <w:r w:rsidRPr="000C2E93">
        <w:rPr>
          <w:rFonts w:ascii="宋体" w:eastAsia="宋体" w:hAnsi="宋体" w:cs="宋体"/>
          <w:sz w:val="18"/>
          <w:szCs w:val="18"/>
        </w:rPr>
        <w:t>150,725,486</w:t>
      </w:r>
      <w:r w:rsidRPr="000C2E93">
        <w:rPr>
          <w:rFonts w:ascii="宋体" w:eastAsia="宋体" w:hAnsi="宋体" w:cs="宋体" w:hint="eastAsia"/>
          <w:sz w:val="18"/>
          <w:szCs w:val="18"/>
        </w:rPr>
        <w:t>股，占公司股份总数的</w:t>
      </w:r>
      <w:r w:rsidRPr="000C2E93">
        <w:rPr>
          <w:rFonts w:ascii="宋体" w:eastAsia="宋体" w:hAnsi="宋体" w:cs="宋体"/>
          <w:sz w:val="18"/>
          <w:szCs w:val="18"/>
        </w:rPr>
        <w:t>14.89%</w:t>
      </w:r>
      <w:r w:rsidRPr="000C2E93">
        <w:rPr>
          <w:rFonts w:ascii="宋体" w:eastAsia="宋体" w:hAnsi="宋体" w:cs="宋体" w:hint="eastAsia"/>
          <w:sz w:val="18"/>
          <w:szCs w:val="18"/>
        </w:rPr>
        <w:t>。</w:t>
      </w:r>
    </w:p>
    <w:p w:rsidR="008D4B2E" w:rsidRPr="000C2E93" w:rsidRDefault="008D4B2E" w:rsidP="00B87081">
      <w:pPr>
        <w:ind w:firstLineChars="200" w:firstLine="360"/>
        <w:divId w:val="1048996220"/>
        <w:rPr>
          <w:rFonts w:ascii="宋体" w:eastAsia="宋体" w:hAnsi="宋体" w:cs="宋体"/>
          <w:sz w:val="18"/>
          <w:szCs w:val="18"/>
        </w:rPr>
      </w:pP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6</w:t>
      </w:r>
      <w:r w:rsidRPr="000C2E93">
        <w:rPr>
          <w:rFonts w:ascii="宋体" w:eastAsia="宋体" w:hAnsi="宋体" w:cs="宋体" w:hint="eastAsia"/>
          <w:sz w:val="18"/>
          <w:szCs w:val="18"/>
        </w:rPr>
        <w:t>月</w:t>
      </w:r>
      <w:r w:rsidRPr="000C2E93">
        <w:rPr>
          <w:rFonts w:ascii="宋体" w:eastAsia="宋体" w:hAnsi="宋体" w:cs="宋体"/>
          <w:sz w:val="18"/>
          <w:szCs w:val="18"/>
        </w:rPr>
        <w:t>1</w:t>
      </w:r>
      <w:r w:rsidRPr="000C2E93">
        <w:rPr>
          <w:rFonts w:ascii="宋体" w:eastAsia="宋体" w:hAnsi="宋体" w:cs="宋体" w:hint="eastAsia"/>
          <w:sz w:val="18"/>
          <w:szCs w:val="18"/>
        </w:rPr>
        <w:t>日董事会公告袁仲雪先生及其一致行动人青岛瑞元鼎辉控股有限公司将所持有本公司的部分股份予以质押，质押开始日</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5</w:t>
      </w:r>
      <w:r w:rsidRPr="000C2E93">
        <w:rPr>
          <w:rFonts w:ascii="宋体" w:eastAsia="宋体" w:hAnsi="宋体" w:cs="宋体" w:hint="eastAsia"/>
          <w:sz w:val="18"/>
          <w:szCs w:val="18"/>
        </w:rPr>
        <w:t>月</w:t>
      </w:r>
      <w:r w:rsidRPr="000C2E93">
        <w:rPr>
          <w:rFonts w:ascii="宋体" w:eastAsia="宋体" w:hAnsi="宋体" w:cs="宋体"/>
          <w:sz w:val="18"/>
          <w:szCs w:val="18"/>
        </w:rPr>
        <w:t>24</w:t>
      </w:r>
      <w:r w:rsidRPr="000C2E93">
        <w:rPr>
          <w:rFonts w:ascii="宋体" w:eastAsia="宋体" w:hAnsi="宋体" w:cs="宋体" w:hint="eastAsia"/>
          <w:sz w:val="18"/>
          <w:szCs w:val="18"/>
        </w:rPr>
        <w:t>日，质押到期日</w:t>
      </w:r>
      <w:r w:rsidRPr="000C2E93">
        <w:rPr>
          <w:rFonts w:ascii="宋体" w:eastAsia="宋体" w:hAnsi="宋体" w:cs="宋体"/>
          <w:sz w:val="18"/>
          <w:szCs w:val="18"/>
        </w:rPr>
        <w:t>2025</w:t>
      </w:r>
      <w:r w:rsidRPr="000C2E93">
        <w:rPr>
          <w:rFonts w:ascii="宋体" w:eastAsia="宋体" w:hAnsi="宋体" w:cs="宋体" w:hint="eastAsia"/>
          <w:sz w:val="18"/>
          <w:szCs w:val="18"/>
        </w:rPr>
        <w:t>年</w:t>
      </w:r>
      <w:r w:rsidRPr="000C2E93">
        <w:rPr>
          <w:rFonts w:ascii="宋体" w:eastAsia="宋体" w:hAnsi="宋体" w:cs="宋体"/>
          <w:sz w:val="18"/>
          <w:szCs w:val="18"/>
        </w:rPr>
        <w:t>5</w:t>
      </w:r>
      <w:r w:rsidRPr="000C2E93">
        <w:rPr>
          <w:rFonts w:ascii="宋体" w:eastAsia="宋体" w:hAnsi="宋体" w:cs="宋体" w:hint="eastAsia"/>
          <w:sz w:val="18"/>
          <w:szCs w:val="18"/>
        </w:rPr>
        <w:t>月</w:t>
      </w:r>
      <w:r w:rsidRPr="000C2E93">
        <w:rPr>
          <w:rFonts w:ascii="宋体" w:eastAsia="宋体" w:hAnsi="宋体" w:cs="宋体"/>
          <w:sz w:val="18"/>
          <w:szCs w:val="18"/>
        </w:rPr>
        <w:t>23</w:t>
      </w:r>
      <w:r w:rsidRPr="000C2E93">
        <w:rPr>
          <w:rFonts w:ascii="宋体" w:eastAsia="宋体" w:hAnsi="宋体" w:cs="宋体" w:hint="eastAsia"/>
          <w:sz w:val="18"/>
          <w:szCs w:val="18"/>
        </w:rPr>
        <w:t>日，质权人青岛农村商业银行股份有限公司李沧支行，质押股份累计数量为</w:t>
      </w:r>
      <w:r w:rsidRPr="000C2E93">
        <w:rPr>
          <w:rFonts w:ascii="宋体" w:eastAsia="宋体" w:hAnsi="宋体" w:cs="宋体"/>
          <w:sz w:val="18"/>
          <w:szCs w:val="18"/>
        </w:rPr>
        <w:t>115,000,000</w:t>
      </w:r>
      <w:r w:rsidRPr="000C2E93">
        <w:rPr>
          <w:rFonts w:ascii="宋体" w:eastAsia="宋体" w:hAnsi="宋体" w:cs="宋体" w:hint="eastAsia"/>
          <w:sz w:val="18"/>
          <w:szCs w:val="18"/>
        </w:rPr>
        <w:t>股，占其所持股份比例为</w:t>
      </w:r>
      <w:r w:rsidRPr="000C2E93">
        <w:rPr>
          <w:rFonts w:ascii="宋体" w:eastAsia="宋体" w:hAnsi="宋体" w:cs="宋体"/>
          <w:sz w:val="18"/>
          <w:szCs w:val="18"/>
        </w:rPr>
        <w:t>79.14%</w:t>
      </w:r>
      <w:r w:rsidRPr="000C2E93">
        <w:rPr>
          <w:rFonts w:ascii="宋体" w:eastAsia="宋体" w:hAnsi="宋体" w:cs="宋体" w:hint="eastAsia"/>
          <w:sz w:val="18"/>
          <w:szCs w:val="18"/>
        </w:rPr>
        <w:t>，占公司总股本比例为</w:t>
      </w:r>
      <w:r w:rsidRPr="000C2E93">
        <w:rPr>
          <w:rFonts w:ascii="宋体" w:eastAsia="宋体" w:hAnsi="宋体" w:cs="宋体"/>
          <w:sz w:val="18"/>
          <w:szCs w:val="18"/>
        </w:rPr>
        <w:t>11.36%</w:t>
      </w:r>
      <w:r w:rsidRPr="000C2E93">
        <w:rPr>
          <w:rFonts w:ascii="宋体" w:eastAsia="宋体" w:hAnsi="宋体" w:cs="宋体" w:hint="eastAsia"/>
          <w:sz w:val="18"/>
          <w:szCs w:val="18"/>
        </w:rPr>
        <w:t>。</w:t>
      </w:r>
    </w:p>
    <w:p w:rsidR="00BA0365" w:rsidRDefault="008D4B2E" w:rsidP="00B87081">
      <w:pPr>
        <w:ind w:firstLineChars="200" w:firstLine="360"/>
        <w:rPr>
          <w:rFonts w:ascii="宋体" w:eastAsia="宋体" w:hAnsi="宋体" w:cs="宋体"/>
          <w:sz w:val="18"/>
          <w:szCs w:val="18"/>
        </w:rPr>
      </w:pPr>
      <w:r>
        <w:rPr>
          <w:rFonts w:ascii="宋体" w:eastAsia="宋体" w:hAnsi="宋体" w:cs="宋体"/>
          <w:sz w:val="18"/>
          <w:szCs w:val="18"/>
        </w:rPr>
        <w:t>本企业最终控制方是袁仲雪。</w:t>
      </w:r>
    </w:p>
    <w:p w:rsidR="00BA0365" w:rsidRDefault="008D4B2E">
      <w:pPr>
        <w:pStyle w:val="3"/>
        <w:spacing w:line="280" w:lineRule="exact"/>
        <w:jc w:val="left"/>
        <w:rPr>
          <w:rFonts w:ascii="宋体" w:hAnsi="宋体" w:cs="宋体"/>
          <w:b/>
          <w:bCs/>
        </w:rPr>
      </w:pPr>
      <w:bookmarkStart w:id="386" w:name="_Toc989289"/>
      <w:r>
        <w:rPr>
          <w:rFonts w:ascii="宋体" w:hAnsi="宋体" w:cs="宋体"/>
          <w:b/>
          <w:bCs/>
        </w:rPr>
        <w:t>2、本企业的子公司情况</w:t>
      </w:r>
      <w:bookmarkEnd w:id="38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本企业子公司的情况详见附注十、1、在子公司中的权益。</w:t>
      </w:r>
    </w:p>
    <w:p w:rsidR="00BA0365" w:rsidRDefault="008D4B2E">
      <w:pPr>
        <w:pStyle w:val="3"/>
        <w:spacing w:line="280" w:lineRule="exact"/>
        <w:jc w:val="left"/>
        <w:rPr>
          <w:rFonts w:ascii="宋体" w:hAnsi="宋体" w:cs="宋体"/>
          <w:b/>
          <w:bCs/>
        </w:rPr>
      </w:pPr>
      <w:bookmarkStart w:id="387" w:name="_Toc989290"/>
      <w:r>
        <w:rPr>
          <w:rFonts w:ascii="宋体" w:hAnsi="宋体" w:cs="宋体"/>
          <w:b/>
          <w:bCs/>
        </w:rPr>
        <w:t>3、本企业合营和联营企业情况</w:t>
      </w:r>
      <w:bookmarkEnd w:id="38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本企业重要的合营或联营企业详见附注十、3、在合营企业或联营企业中的权益。</w:t>
      </w:r>
    </w:p>
    <w:p w:rsidR="00BA0365" w:rsidRDefault="008D4B2E">
      <w:pPr>
        <w:pStyle w:val="3"/>
        <w:spacing w:line="280" w:lineRule="exact"/>
        <w:jc w:val="left"/>
        <w:rPr>
          <w:rFonts w:ascii="宋体" w:hAnsi="宋体" w:cs="宋体"/>
          <w:b/>
          <w:bCs/>
        </w:rPr>
      </w:pPr>
      <w:bookmarkStart w:id="388" w:name="_Toc989291"/>
      <w:r>
        <w:rPr>
          <w:rFonts w:ascii="宋体" w:hAnsi="宋体" w:cs="宋体"/>
          <w:b/>
          <w:bCs/>
        </w:rPr>
        <w:t>4、其他关联方情况</w:t>
      </w:r>
      <w:bookmarkEnd w:id="388"/>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其他关联方名称</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其他关联方与本企业关系</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怡</w:t>
            </w:r>
            <w:proofErr w:type="gramEnd"/>
            <w:r>
              <w:rPr>
                <w:rFonts w:ascii="宋体" w:eastAsia="宋体" w:hAnsi="宋体" w:cs="宋体"/>
                <w:sz w:val="18"/>
                <w:szCs w:val="18"/>
              </w:rPr>
              <w:t>维</w:t>
            </w:r>
            <w:proofErr w:type="gramStart"/>
            <w:r>
              <w:rPr>
                <w:rFonts w:ascii="宋体" w:eastAsia="宋体" w:hAnsi="宋体" w:cs="宋体"/>
                <w:sz w:val="18"/>
                <w:szCs w:val="18"/>
              </w:rPr>
              <w:t>怡</w:t>
            </w:r>
            <w:proofErr w:type="gramEnd"/>
            <w:r>
              <w:rPr>
                <w:rFonts w:ascii="宋体" w:eastAsia="宋体" w:hAnsi="宋体" w:cs="宋体"/>
                <w:sz w:val="18"/>
                <w:szCs w:val="18"/>
              </w:rPr>
              <w:t>橡胶研究院有限公司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实际控制人控制的法人组织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赛轮金</w:t>
            </w:r>
            <w:proofErr w:type="gramEnd"/>
            <w:r>
              <w:rPr>
                <w:rFonts w:ascii="宋体" w:eastAsia="宋体" w:hAnsi="宋体" w:cs="宋体"/>
                <w:sz w:val="18"/>
                <w:szCs w:val="18"/>
              </w:rPr>
              <w:t>宇轮胎销售有限公司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赛轮国际</w:t>
            </w:r>
            <w:proofErr w:type="gramEnd"/>
            <w:r>
              <w:rPr>
                <w:rFonts w:ascii="宋体" w:eastAsia="宋体" w:hAnsi="宋体" w:cs="宋体"/>
                <w:sz w:val="18"/>
                <w:szCs w:val="18"/>
              </w:rPr>
              <w:t>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山东</w:t>
            </w:r>
            <w:proofErr w:type="gramStart"/>
            <w:r>
              <w:rPr>
                <w:rFonts w:ascii="宋体" w:eastAsia="宋体" w:hAnsi="宋体" w:cs="宋体"/>
                <w:sz w:val="18"/>
                <w:szCs w:val="18"/>
              </w:rPr>
              <w:t>赛轮金</w:t>
            </w:r>
            <w:proofErr w:type="gramEnd"/>
            <w:r>
              <w:rPr>
                <w:rFonts w:ascii="宋体" w:eastAsia="宋体" w:hAnsi="宋体" w:cs="宋体"/>
                <w:sz w:val="18"/>
                <w:szCs w:val="18"/>
              </w:rPr>
              <w:t>宇轮胎销售有限公司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赛轮金</w:t>
            </w:r>
            <w:proofErr w:type="gramEnd"/>
            <w:r>
              <w:rPr>
                <w:rFonts w:ascii="宋体" w:eastAsia="宋体" w:hAnsi="宋体" w:cs="宋体"/>
                <w:sz w:val="18"/>
                <w:szCs w:val="18"/>
              </w:rPr>
              <w:t>宇集团（香港）有限公司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ACTR</w:t>
            </w:r>
            <w:r w:rsidR="005D4E78">
              <w:rPr>
                <w:rFonts w:ascii="宋体" w:eastAsia="宋体" w:hAnsi="宋体" w:cs="宋体"/>
                <w:sz w:val="18"/>
                <w:szCs w:val="18"/>
              </w:rPr>
              <w:t xml:space="preserve"> </w:t>
            </w:r>
            <w:r>
              <w:rPr>
                <w:rFonts w:ascii="宋体" w:eastAsia="宋体" w:hAnsi="宋体" w:cs="宋体"/>
                <w:sz w:val="18"/>
                <w:szCs w:val="18"/>
              </w:rPr>
              <w:t>COMPANY</w:t>
            </w:r>
            <w:r w:rsidR="005D4E78">
              <w:rPr>
                <w:rFonts w:ascii="宋体" w:eastAsia="宋体" w:hAnsi="宋体" w:cs="宋体"/>
                <w:sz w:val="18"/>
                <w:szCs w:val="18"/>
              </w:rPr>
              <w:t xml:space="preserve"> </w:t>
            </w:r>
            <w:r>
              <w:rPr>
                <w:rFonts w:ascii="宋体" w:eastAsia="宋体" w:hAnsi="宋体" w:cs="宋体"/>
                <w:sz w:val="18"/>
                <w:szCs w:val="18"/>
              </w:rPr>
              <w:t>LIMITED</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赛轮（潍坊）轮胎有限公司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CART TIRE CO., LTD.</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深圳市</w:t>
            </w:r>
            <w:proofErr w:type="gramStart"/>
            <w:r>
              <w:rPr>
                <w:rFonts w:ascii="宋体" w:eastAsia="宋体" w:hAnsi="宋体" w:cs="宋体"/>
                <w:sz w:val="18"/>
                <w:szCs w:val="18"/>
              </w:rPr>
              <w:t>赛轮科技</w:t>
            </w:r>
            <w:proofErr w:type="gramEnd"/>
            <w:r>
              <w:rPr>
                <w:rFonts w:ascii="宋体" w:eastAsia="宋体" w:hAnsi="宋体" w:cs="宋体"/>
                <w:sz w:val="18"/>
                <w:szCs w:val="18"/>
              </w:rPr>
              <w:t>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实际控制人担任董事的法人组织</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青岛青维科技发展有限公司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联营企业</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联营企业</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联营企业</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联营企业</w:t>
            </w:r>
          </w:p>
        </w:tc>
      </w:tr>
    </w:tbl>
    <w:p w:rsidR="00BA0365" w:rsidRDefault="008D4B2E">
      <w:pPr>
        <w:pStyle w:val="3"/>
        <w:spacing w:line="280" w:lineRule="exact"/>
        <w:jc w:val="left"/>
        <w:rPr>
          <w:rFonts w:ascii="宋体" w:hAnsi="宋体" w:cs="宋体"/>
          <w:b/>
          <w:bCs/>
        </w:rPr>
      </w:pPr>
      <w:bookmarkStart w:id="389" w:name="_Toc989292"/>
      <w:r>
        <w:rPr>
          <w:rFonts w:ascii="宋体" w:hAnsi="宋体" w:cs="宋体"/>
          <w:b/>
          <w:bCs/>
        </w:rPr>
        <w:lastRenderedPageBreak/>
        <w:t>5、关联交易情况</w:t>
      </w:r>
      <w:bookmarkEnd w:id="389"/>
    </w:p>
    <w:p w:rsidR="00BA0365" w:rsidRDefault="008D4B2E">
      <w:pPr>
        <w:keepNext/>
        <w:keepLines/>
        <w:spacing w:before="300" w:after="300" w:line="280" w:lineRule="exact"/>
        <w:outlineLvl w:val="3"/>
        <w:rPr>
          <w:rFonts w:ascii="宋体" w:eastAsia="宋体" w:hAnsi="宋体" w:cs="宋体"/>
          <w:b/>
          <w:bCs/>
          <w:szCs w:val="21"/>
        </w:rPr>
      </w:pPr>
      <w:bookmarkStart w:id="390" w:name="_Toc989293"/>
      <w:r>
        <w:rPr>
          <w:rFonts w:ascii="宋体" w:eastAsia="宋体" w:hAnsi="宋体" w:cs="宋体"/>
          <w:b/>
          <w:bCs/>
          <w:szCs w:val="21"/>
        </w:rPr>
        <w:t>（1） 购销商品、提供和接受劳务的关联交易</w:t>
      </w:r>
      <w:bookmarkEnd w:id="390"/>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采购商品/接受劳务情况表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943"/>
        <w:gridCol w:w="1843"/>
        <w:gridCol w:w="1418"/>
        <w:gridCol w:w="992"/>
        <w:gridCol w:w="992"/>
        <w:gridCol w:w="1451"/>
      </w:tblGrid>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18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获批的交易额度</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是否超过交易额度</w:t>
            </w:r>
          </w:p>
        </w:tc>
        <w:tc>
          <w:tcPr>
            <w:tcW w:w="14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产品、材料费、委托加工</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10,963,898.70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36,946,109.09</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材料费、委托加工</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983,389.96</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853,066.78</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材料费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1,406,123.89</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材料费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10,114,312.43</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8,206,052.51</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水电费、产品、材料费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348,180.54</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396,825.87</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怡</w:t>
            </w:r>
            <w:proofErr w:type="gramEnd"/>
            <w:r>
              <w:rPr>
                <w:rFonts w:ascii="宋体" w:eastAsia="宋体" w:hAnsi="宋体" w:cs="宋体"/>
                <w:sz w:val="18"/>
                <w:szCs w:val="18"/>
              </w:rPr>
              <w:t>维</w:t>
            </w:r>
            <w:proofErr w:type="gramStart"/>
            <w:r>
              <w:rPr>
                <w:rFonts w:ascii="宋体" w:eastAsia="宋体" w:hAnsi="宋体" w:cs="宋体"/>
                <w:sz w:val="18"/>
                <w:szCs w:val="18"/>
              </w:rPr>
              <w:t>怡</w:t>
            </w:r>
            <w:proofErr w:type="gramEnd"/>
            <w:r>
              <w:rPr>
                <w:rFonts w:ascii="宋体" w:eastAsia="宋体" w:hAnsi="宋体" w:cs="宋体"/>
                <w:sz w:val="18"/>
                <w:szCs w:val="18"/>
              </w:rPr>
              <w:t>橡胶研究院有限公司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材料费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1,688.50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243,431.37</w:t>
            </w: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深圳市</w:t>
            </w:r>
            <w:proofErr w:type="gramStart"/>
            <w:r>
              <w:rPr>
                <w:rFonts w:ascii="宋体" w:eastAsia="宋体" w:hAnsi="宋体" w:cs="宋体"/>
                <w:sz w:val="18"/>
                <w:szCs w:val="18"/>
              </w:rPr>
              <w:t>赛轮科技</w:t>
            </w:r>
            <w:proofErr w:type="gramEnd"/>
            <w:r>
              <w:rPr>
                <w:rFonts w:ascii="宋体" w:eastAsia="宋体" w:hAnsi="宋体" w:cs="宋体"/>
                <w:sz w:val="18"/>
                <w:szCs w:val="18"/>
              </w:rPr>
              <w:t>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车辆费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4,352.00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0486D">
        <w:trPr>
          <w:trHeight w:val="240"/>
        </w:trPr>
        <w:tc>
          <w:tcPr>
            <w:tcW w:w="29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184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材料费</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179,602.04</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出售商品/提供劳务情况表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802"/>
        <w:gridCol w:w="3402"/>
        <w:gridCol w:w="1701"/>
        <w:gridCol w:w="1734"/>
      </w:tblGrid>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340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关联交易内容</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产品、材料、服务费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330,116,896.02</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195,120,174.40</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w:t>
            </w:r>
            <w:proofErr w:type="gramEnd"/>
            <w:r>
              <w:rPr>
                <w:rFonts w:ascii="宋体" w:eastAsia="宋体" w:hAnsi="宋体" w:cs="宋体"/>
                <w:sz w:val="18"/>
                <w:szCs w:val="18"/>
              </w:rPr>
              <w:t>(越南)有限公司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产品、服务费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279,440,447.18</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165,549,657.00</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产品、材料、服务费、备件</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186,905,553.38</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69,174,105.08</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产品、材料、水电费、服务费、备件</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670,513,272.84</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489,603,685.57</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CART TIRE CO.,LTD</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产品、服务费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411,555,436.05</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528,365,634.60</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5D4E78">
            <w:pPr>
              <w:spacing w:line="240" w:lineRule="exact"/>
              <w:rPr>
                <w:rFonts w:ascii="宋体" w:eastAsia="宋体" w:hAnsi="宋体" w:cs="宋体"/>
                <w:sz w:val="18"/>
                <w:szCs w:val="18"/>
              </w:rPr>
            </w:pPr>
            <w:r>
              <w:rPr>
                <w:rFonts w:ascii="宋体" w:eastAsia="宋体" w:hAnsi="宋体" w:cs="宋体"/>
                <w:sz w:val="18"/>
                <w:szCs w:val="18"/>
              </w:rPr>
              <w:t>ACTR COMPANY LIMITED</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2,576,763.11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3,452,837.84</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产品、材料、服务费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90,857,883.61</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141,174,941.19</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9,033,008.85</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12,474,150.44</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产品、材料</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62,917.70</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10,938.50</w:t>
            </w:r>
          </w:p>
        </w:tc>
      </w:tr>
      <w:tr w:rsidR="00157EA0" w:rsidTr="0010486D">
        <w:trPr>
          <w:trHeight w:val="240"/>
        </w:trPr>
        <w:tc>
          <w:tcPr>
            <w:tcW w:w="28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深圳市</w:t>
            </w:r>
            <w:proofErr w:type="gramStart"/>
            <w:r>
              <w:rPr>
                <w:rFonts w:ascii="宋体" w:eastAsia="宋体" w:hAnsi="宋体" w:cs="宋体"/>
                <w:sz w:val="18"/>
                <w:szCs w:val="18"/>
              </w:rPr>
              <w:t>赛轮科技</w:t>
            </w:r>
            <w:proofErr w:type="gramEnd"/>
            <w:r>
              <w:rPr>
                <w:rFonts w:ascii="宋体" w:eastAsia="宋体" w:hAnsi="宋体" w:cs="宋体"/>
                <w:sz w:val="18"/>
                <w:szCs w:val="18"/>
              </w:rPr>
              <w:t>有限公司</w:t>
            </w:r>
          </w:p>
        </w:tc>
        <w:tc>
          <w:tcPr>
            <w:tcW w:w="340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服务费</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900.00</w:t>
            </w:r>
          </w:p>
        </w:tc>
      </w:tr>
    </w:tbl>
    <w:p w:rsidR="00BA0365" w:rsidRDefault="008D4B2E">
      <w:pPr>
        <w:keepNext/>
        <w:keepLines/>
        <w:spacing w:before="300" w:after="300" w:line="280" w:lineRule="exact"/>
        <w:outlineLvl w:val="3"/>
        <w:rPr>
          <w:rFonts w:ascii="宋体" w:eastAsia="宋体" w:hAnsi="宋体" w:cs="宋体"/>
          <w:b/>
          <w:bCs/>
          <w:szCs w:val="21"/>
        </w:rPr>
      </w:pPr>
      <w:bookmarkStart w:id="391" w:name="_Toc989299"/>
      <w:r>
        <w:rPr>
          <w:rFonts w:ascii="宋体" w:eastAsia="宋体" w:hAnsi="宋体" w:cs="宋体"/>
          <w:b/>
          <w:bCs/>
          <w:szCs w:val="21"/>
        </w:rPr>
        <w:t>（</w:t>
      </w:r>
      <w:r w:rsidR="0010486D">
        <w:rPr>
          <w:rFonts w:ascii="宋体" w:eastAsia="宋体" w:hAnsi="宋体" w:cs="宋体"/>
          <w:b/>
          <w:bCs/>
          <w:szCs w:val="21"/>
        </w:rPr>
        <w:t>2</w:t>
      </w:r>
      <w:r>
        <w:rPr>
          <w:rFonts w:ascii="宋体" w:eastAsia="宋体" w:hAnsi="宋体" w:cs="宋体"/>
          <w:b/>
          <w:bCs/>
          <w:szCs w:val="21"/>
        </w:rPr>
        <w:t>） 关键管理人员报酬</w:t>
      </w:r>
      <w:bookmarkEnd w:id="39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关键管理人员报酬</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8,077,700.00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6,952,000.00</w:t>
            </w:r>
          </w:p>
        </w:tc>
      </w:tr>
    </w:tbl>
    <w:p w:rsidR="00BA0365" w:rsidRDefault="008D4B2E">
      <w:pPr>
        <w:pStyle w:val="3"/>
        <w:spacing w:line="280" w:lineRule="exact"/>
        <w:jc w:val="left"/>
        <w:rPr>
          <w:rFonts w:ascii="宋体" w:hAnsi="宋体" w:cs="宋体"/>
          <w:b/>
          <w:bCs/>
        </w:rPr>
      </w:pPr>
      <w:bookmarkStart w:id="392" w:name="_Toc989301"/>
      <w:r>
        <w:rPr>
          <w:rFonts w:ascii="宋体" w:hAnsi="宋体" w:cs="宋体"/>
          <w:b/>
          <w:bCs/>
        </w:rPr>
        <w:t>6、关联方应收应付款项</w:t>
      </w:r>
      <w:bookmarkEnd w:id="392"/>
    </w:p>
    <w:p w:rsidR="00BA0365" w:rsidRDefault="008D4B2E">
      <w:pPr>
        <w:keepNext/>
        <w:keepLines/>
        <w:spacing w:before="300" w:after="300" w:line="280" w:lineRule="exact"/>
        <w:outlineLvl w:val="3"/>
        <w:rPr>
          <w:rFonts w:ascii="宋体" w:eastAsia="宋体" w:hAnsi="宋体" w:cs="宋体"/>
          <w:b/>
          <w:bCs/>
          <w:szCs w:val="21"/>
        </w:rPr>
      </w:pPr>
      <w:bookmarkStart w:id="393" w:name="_Toc989302"/>
      <w:r>
        <w:rPr>
          <w:rFonts w:ascii="宋体" w:eastAsia="宋体" w:hAnsi="宋体" w:cs="宋体"/>
          <w:b/>
          <w:bCs/>
          <w:szCs w:val="21"/>
        </w:rPr>
        <w:t>（1） 应收项目</w:t>
      </w:r>
      <w:bookmarkEnd w:id="39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2583"/>
        <w:gridCol w:w="1528"/>
        <w:gridCol w:w="1418"/>
        <w:gridCol w:w="1559"/>
        <w:gridCol w:w="1309"/>
      </w:tblGrid>
      <w:tr w:rsidR="00157EA0" w:rsidTr="005D4E78">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258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294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868"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rsidTr="005D4E78">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58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55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61,414,735.81</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6,497,315.41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45,533,339.56</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6,051,457.74</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96,045,771.47</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5,049,783.82</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109,984,387.82</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4,517,312.11</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赛轮（沈阳）轮胎有限公司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35,061,179.78</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2,264,385.97</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94,048,595.75</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4,423,707.83</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5D4E78">
            <w:pPr>
              <w:spacing w:line="240" w:lineRule="exact"/>
              <w:rPr>
                <w:rFonts w:ascii="宋体" w:eastAsia="宋体" w:hAnsi="宋体" w:cs="宋体"/>
                <w:sz w:val="18"/>
                <w:szCs w:val="18"/>
              </w:rPr>
            </w:pPr>
            <w:r>
              <w:rPr>
                <w:rFonts w:ascii="宋体" w:eastAsia="宋体" w:hAnsi="宋体" w:cs="宋体"/>
                <w:sz w:val="18"/>
                <w:szCs w:val="18"/>
              </w:rPr>
              <w:t>ACTR COMPANY LIMITED</w:t>
            </w:r>
            <w:bookmarkStart w:id="394" w:name="_GoBack"/>
            <w:bookmarkEnd w:id="394"/>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208,257.18</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4,165.14</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320,405.75</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7,139.40</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w:t>
            </w:r>
            <w:proofErr w:type="gramEnd"/>
            <w:r>
              <w:rPr>
                <w:rFonts w:ascii="宋体" w:eastAsia="宋体" w:hAnsi="宋体" w:cs="宋体"/>
                <w:sz w:val="18"/>
                <w:szCs w:val="18"/>
              </w:rPr>
              <w:t>(越南)有限公司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37,648,411.31</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752,968.23</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32,817,308.68</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656,346.17</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1,919,338.70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38,386.77</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怡</w:t>
            </w:r>
            <w:proofErr w:type="gramEnd"/>
            <w:r>
              <w:rPr>
                <w:rFonts w:ascii="宋体" w:eastAsia="宋体" w:hAnsi="宋体" w:cs="宋体"/>
                <w:sz w:val="18"/>
                <w:szCs w:val="18"/>
              </w:rPr>
              <w:t>维</w:t>
            </w:r>
            <w:proofErr w:type="gramStart"/>
            <w:r>
              <w:rPr>
                <w:rFonts w:ascii="宋体" w:eastAsia="宋体" w:hAnsi="宋体" w:cs="宋体"/>
                <w:sz w:val="18"/>
                <w:szCs w:val="18"/>
              </w:rPr>
              <w:t>怡</w:t>
            </w:r>
            <w:proofErr w:type="gramEnd"/>
            <w:r>
              <w:rPr>
                <w:rFonts w:ascii="宋体" w:eastAsia="宋体" w:hAnsi="宋体" w:cs="宋体"/>
                <w:sz w:val="18"/>
                <w:szCs w:val="18"/>
              </w:rPr>
              <w:t>橡胶研究院有限公司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4,300.00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215.00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4,300.00</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86.00</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沈阳亨通能源有限公司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10,857.11</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217.14</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6,055.00</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121.10</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925,711.54</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342,251.01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925,711.54</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163,198.48</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5D4E78">
            <w:pPr>
              <w:spacing w:line="240" w:lineRule="exact"/>
              <w:rPr>
                <w:rFonts w:ascii="宋体" w:eastAsia="宋体" w:hAnsi="宋体" w:cs="宋体"/>
                <w:sz w:val="18"/>
                <w:szCs w:val="18"/>
              </w:rPr>
            </w:pPr>
            <w:r>
              <w:rPr>
                <w:rFonts w:ascii="宋体" w:eastAsia="宋体" w:hAnsi="宋体" w:cs="宋体"/>
                <w:sz w:val="18"/>
                <w:szCs w:val="18"/>
              </w:rPr>
              <w:t>CART TIRE CO., LTD.</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152,335,690.78</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3,046,713.81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20,335,932.74</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406,718.65</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应收账款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6,252,050.40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245,041.01</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69,730,995.24</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1,545,519.91</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0.64</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8,955.78</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11,679.94</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11,679.94</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预付款项</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27,202.12</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100,000.00</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r>
      <w:tr w:rsidR="00157EA0" w:rsidTr="005D4E78">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258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5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w:t>
            </w:r>
          </w:p>
        </w:tc>
        <w:tc>
          <w:tcPr>
            <w:tcW w:w="155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w:t>
            </w:r>
          </w:p>
        </w:tc>
        <w:tc>
          <w:tcPr>
            <w:tcW w:w="1309"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500,000.00</w:t>
            </w:r>
          </w:p>
        </w:tc>
      </w:tr>
    </w:tbl>
    <w:p w:rsidR="00BA0365" w:rsidRDefault="008D4B2E">
      <w:pPr>
        <w:keepNext/>
        <w:keepLines/>
        <w:spacing w:before="300" w:after="300" w:line="280" w:lineRule="exact"/>
        <w:outlineLvl w:val="3"/>
        <w:rPr>
          <w:rFonts w:ascii="宋体" w:eastAsia="宋体" w:hAnsi="宋体" w:cs="宋体"/>
          <w:b/>
          <w:bCs/>
          <w:szCs w:val="21"/>
        </w:rPr>
      </w:pPr>
      <w:bookmarkStart w:id="395" w:name="_Toc989303"/>
      <w:r>
        <w:rPr>
          <w:rFonts w:ascii="宋体" w:eastAsia="宋体" w:hAnsi="宋体" w:cs="宋体"/>
          <w:b/>
          <w:bCs/>
          <w:szCs w:val="21"/>
        </w:rPr>
        <w:t>（2） 应付项目</w:t>
      </w:r>
      <w:bookmarkEnd w:id="39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51"/>
        <w:gridCol w:w="3827"/>
        <w:gridCol w:w="1985"/>
        <w:gridCol w:w="1876"/>
      </w:tblGrid>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项目名称</w:t>
            </w:r>
          </w:p>
        </w:tc>
        <w:tc>
          <w:tcPr>
            <w:tcW w:w="382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关联方</w:t>
            </w:r>
          </w:p>
        </w:tc>
        <w:tc>
          <w:tcPr>
            <w:tcW w:w="198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1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2,282,197.43</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7,032,617.01</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84,823.90</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青岛纵联工业技术有限公司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9,602,581.23</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5,461,052.88</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应付账款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137,634.00</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青岛普元栋盛商业发展有限公司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6,055.33</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怡</w:t>
            </w:r>
            <w:proofErr w:type="gramEnd"/>
            <w:r>
              <w:rPr>
                <w:rFonts w:ascii="宋体" w:eastAsia="宋体" w:hAnsi="宋体" w:cs="宋体"/>
                <w:sz w:val="18"/>
                <w:szCs w:val="18"/>
              </w:rPr>
              <w:t>维</w:t>
            </w:r>
            <w:proofErr w:type="gramStart"/>
            <w:r>
              <w:rPr>
                <w:rFonts w:ascii="宋体" w:eastAsia="宋体" w:hAnsi="宋体" w:cs="宋体"/>
                <w:sz w:val="18"/>
                <w:szCs w:val="18"/>
              </w:rPr>
              <w:t>怡</w:t>
            </w:r>
            <w:proofErr w:type="gramEnd"/>
            <w:r>
              <w:rPr>
                <w:rFonts w:ascii="宋体" w:eastAsia="宋体" w:hAnsi="宋体" w:cs="宋体"/>
                <w:sz w:val="18"/>
                <w:szCs w:val="18"/>
              </w:rPr>
              <w:t>橡胶研究院有限公司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5,152.73</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5,152.73</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其他应付款</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7,178.04</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赛轮集团</w:t>
            </w:r>
            <w:proofErr w:type="gramEnd"/>
            <w:r>
              <w:rPr>
                <w:rFonts w:ascii="宋体" w:eastAsia="宋体" w:hAnsi="宋体" w:cs="宋体"/>
                <w:sz w:val="18"/>
                <w:szCs w:val="18"/>
              </w:rPr>
              <w:t>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297,567,176.41</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169,464,018.69</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赛轮（东营）轮胎股份有限公司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1,090,100.00</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1,115,398.24</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CART TIRE CO.,LTD.</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40,942,207.96</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62,254,575.54</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赛轮（越南）有限公司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101,648,182.86</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98,301,642.08</w:t>
            </w: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诸城涌安橡胶科技有限公司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10,007,592.94</w:t>
            </w: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10486D">
        <w:trPr>
          <w:trHeight w:val="240"/>
        </w:trPr>
        <w:tc>
          <w:tcPr>
            <w:tcW w:w="19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预收款项</w:t>
            </w:r>
          </w:p>
        </w:tc>
        <w:tc>
          <w:tcPr>
            <w:tcW w:w="382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四川凯力威科技股份有限公司</w:t>
            </w:r>
          </w:p>
        </w:tc>
        <w:tc>
          <w:tcPr>
            <w:tcW w:w="1985"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6,155,227.67</w:t>
            </w:r>
          </w:p>
        </w:tc>
      </w:tr>
    </w:tbl>
    <w:p w:rsidR="00BA0365" w:rsidRDefault="008D4B2E">
      <w:pPr>
        <w:pStyle w:val="2"/>
        <w:spacing w:before="300" w:after="300" w:line="320" w:lineRule="exact"/>
        <w:rPr>
          <w:rFonts w:ascii="宋体" w:eastAsia="宋体" w:hAnsi="宋体" w:cs="宋体"/>
          <w:b/>
          <w:bCs/>
          <w:sz w:val="24"/>
          <w:szCs w:val="24"/>
        </w:rPr>
      </w:pPr>
      <w:bookmarkStart w:id="396" w:name="_Toc989306"/>
      <w:r>
        <w:rPr>
          <w:rFonts w:ascii="宋体" w:eastAsia="宋体" w:hAnsi="宋体" w:cs="宋体"/>
          <w:b/>
          <w:bCs/>
          <w:sz w:val="24"/>
          <w:szCs w:val="24"/>
        </w:rPr>
        <w:t>十五、股份支付</w:t>
      </w:r>
      <w:bookmarkEnd w:id="396"/>
    </w:p>
    <w:p w:rsidR="00BA0365" w:rsidRDefault="008D4B2E">
      <w:pPr>
        <w:pStyle w:val="3"/>
        <w:spacing w:line="280" w:lineRule="exact"/>
        <w:jc w:val="left"/>
        <w:rPr>
          <w:rFonts w:ascii="宋体" w:hAnsi="宋体" w:cs="宋体"/>
          <w:b/>
          <w:bCs/>
        </w:rPr>
      </w:pPr>
      <w:bookmarkStart w:id="397" w:name="_Toc989307"/>
      <w:r>
        <w:rPr>
          <w:rFonts w:ascii="宋体" w:hAnsi="宋体" w:cs="宋体"/>
          <w:b/>
          <w:bCs/>
        </w:rPr>
        <w:t>1、股份支付总体情况</w:t>
      </w:r>
      <w:bookmarkEnd w:id="39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071"/>
        <w:gridCol w:w="1071"/>
        <w:gridCol w:w="1071"/>
        <w:gridCol w:w="1071"/>
        <w:gridCol w:w="1071"/>
        <w:gridCol w:w="1071"/>
        <w:gridCol w:w="1071"/>
        <w:gridCol w:w="1071"/>
        <w:gridCol w:w="1071"/>
      </w:tblGrid>
      <w:tr w:rsidR="00157EA0">
        <w:trPr>
          <w:trHeight w:val="240"/>
        </w:trPr>
        <w:tc>
          <w:tcPr>
            <w:tcW w:w="107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授予对象类别</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本期授予</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本期行权</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本期解锁</w:t>
            </w:r>
          </w:p>
        </w:tc>
        <w:tc>
          <w:tcPr>
            <w:tcW w:w="2142"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本期失效</w:t>
            </w:r>
          </w:p>
        </w:tc>
      </w:tr>
      <w:tr w:rsidR="00157EA0">
        <w:trPr>
          <w:trHeight w:val="240"/>
        </w:trPr>
        <w:tc>
          <w:tcPr>
            <w:tcW w:w="107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数量</w:t>
            </w:r>
          </w:p>
        </w:tc>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关键员工</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5,099,830.00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41,890,003.62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20,452,270.00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77,470,849.70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38,600.00</w:t>
            </w:r>
          </w:p>
        </w:tc>
      </w:tr>
      <w:tr w:rsidR="00157EA0">
        <w:trPr>
          <w:trHeight w:val="240"/>
        </w:trPr>
        <w:tc>
          <w:tcPr>
            <w:tcW w:w="107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37,500,000.00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150,000,000.00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5,099,830.00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41,890,003.62</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20,452,270.00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77,470,849.70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10,000.00</w:t>
            </w:r>
          </w:p>
        </w:tc>
        <w:tc>
          <w:tcPr>
            <w:tcW w:w="107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38,600.00</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期末发行在外的股票期权或其他权益工具</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其他说明：</w:t>
      </w:r>
    </w:p>
    <w:p w:rsidR="008D4B2E" w:rsidRDefault="008D4B2E">
      <w:pPr>
        <w:pStyle w:val="a3"/>
        <w:spacing w:before="0" w:beforeAutospacing="0" w:after="0" w:afterAutospacing="0" w:line="400" w:lineRule="atLeast"/>
        <w:ind w:left="482"/>
        <w:jc w:val="both"/>
        <w:divId w:val="525408917"/>
        <w:rPr>
          <w:rFonts w:ascii="Arial" w:hAnsi="Arial" w:cs="Arial"/>
          <w:sz w:val="20"/>
          <w:szCs w:val="20"/>
        </w:rPr>
      </w:pPr>
      <w:r>
        <w:rPr>
          <w:rStyle w:val="a4"/>
          <w:rFonts w:cs="Arial" w:hint="eastAsia"/>
          <w:sz w:val="20"/>
          <w:szCs w:val="20"/>
        </w:rPr>
        <w:t>（</w:t>
      </w:r>
      <w:r>
        <w:rPr>
          <w:rStyle w:val="a4"/>
          <w:rFonts w:ascii="Arial" w:hAnsi="Arial" w:cs="Arial"/>
          <w:sz w:val="20"/>
          <w:szCs w:val="20"/>
        </w:rPr>
        <w:t>1</w:t>
      </w:r>
      <w:r>
        <w:rPr>
          <w:rStyle w:val="a4"/>
          <w:rFonts w:cs="Arial" w:hint="eastAsia"/>
          <w:sz w:val="20"/>
          <w:szCs w:val="20"/>
        </w:rPr>
        <w:t>）</w:t>
      </w:r>
      <w:r>
        <w:rPr>
          <w:rStyle w:val="a4"/>
          <w:rFonts w:ascii="Arial" w:hAnsi="Arial" w:cs="Arial"/>
          <w:sz w:val="20"/>
          <w:szCs w:val="20"/>
        </w:rPr>
        <w:t>2019</w:t>
      </w:r>
      <w:r>
        <w:rPr>
          <w:rStyle w:val="a4"/>
          <w:rFonts w:cs="Arial" w:hint="eastAsia"/>
          <w:sz w:val="20"/>
          <w:szCs w:val="20"/>
        </w:rPr>
        <w:t>年期</w:t>
      </w:r>
    </w:p>
    <w:tbl>
      <w:tblPr>
        <w:tblW w:w="9606" w:type="dxa"/>
        <w:tblCellMar>
          <w:left w:w="0" w:type="dxa"/>
          <w:right w:w="0" w:type="dxa"/>
        </w:tblCellMar>
        <w:tblLook w:val="04A0" w:firstRow="1" w:lastRow="0" w:firstColumn="1" w:lastColumn="0" w:noHBand="0" w:noVBand="1"/>
      </w:tblPr>
      <w:tblGrid>
        <w:gridCol w:w="4219"/>
        <w:gridCol w:w="5387"/>
      </w:tblGrid>
      <w:tr w:rsidR="008D4B2E" w:rsidTr="0010486D">
        <w:trPr>
          <w:divId w:val="525408917"/>
          <w:trHeight w:val="380"/>
          <w:tblHeader/>
        </w:trPr>
        <w:tc>
          <w:tcPr>
            <w:tcW w:w="4219"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lastRenderedPageBreak/>
              <w:t>项目</w:t>
            </w:r>
          </w:p>
        </w:tc>
        <w:tc>
          <w:tcPr>
            <w:tcW w:w="5387"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相关内容</w:t>
            </w:r>
          </w:p>
        </w:tc>
      </w:tr>
      <w:tr w:rsidR="008D4B2E" w:rsidTr="0010486D">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公司本期授予的各项权益工具总额</w:t>
            </w:r>
          </w:p>
        </w:tc>
        <w:tc>
          <w:tcPr>
            <w:tcW w:w="53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10486D">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公司本期行权的各项权益工具总额</w:t>
            </w:r>
            <w:r w:rsidR="0010486D">
              <w:rPr>
                <w:rFonts w:ascii="宋体" w:eastAsia="宋体" w:hAnsi="宋体" w:cs="宋体" w:hint="eastAsia"/>
                <w:sz w:val="18"/>
                <w:szCs w:val="18"/>
              </w:rPr>
              <w:t>（元）</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jc w:val="right"/>
              <w:rPr>
                <w:rFonts w:ascii="宋体" w:eastAsia="宋体" w:hAnsi="宋体" w:cs="宋体"/>
                <w:sz w:val="18"/>
                <w:szCs w:val="18"/>
              </w:rPr>
            </w:pPr>
            <w:r w:rsidRPr="000C2E93">
              <w:rPr>
                <w:rFonts w:ascii="宋体" w:eastAsia="宋体" w:hAnsi="宋体" w:cs="宋体"/>
                <w:sz w:val="18"/>
                <w:szCs w:val="18"/>
              </w:rPr>
              <w:t>17,319,449.64</w:t>
            </w:r>
          </w:p>
        </w:tc>
      </w:tr>
      <w:tr w:rsidR="008D4B2E" w:rsidTr="0010486D">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公司本期失效的各项权益工具总额</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10486D">
        <w:trPr>
          <w:divId w:val="525408917"/>
          <w:trHeight w:val="51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公司期末发行在外的股份期权行权价格的范围和合同剩余期限</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10486D">
        <w:trPr>
          <w:divId w:val="525408917"/>
          <w:trHeight w:val="495"/>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公司期末其他权益工具行权价格的范围和合同剩余期限</w:t>
            </w:r>
          </w:p>
        </w:tc>
        <w:tc>
          <w:tcPr>
            <w:tcW w:w="5387"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授予价格为</w:t>
            </w:r>
            <w:r w:rsidRPr="000C2E93">
              <w:rPr>
                <w:rFonts w:ascii="宋体" w:eastAsia="宋体" w:hAnsi="宋体" w:cs="宋体"/>
                <w:sz w:val="18"/>
                <w:szCs w:val="18"/>
              </w:rPr>
              <w:t>2.13</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股；员工持股计划的有效期自限制性股票授予登记完成之日起至激励</w:t>
            </w:r>
            <w:proofErr w:type="gramStart"/>
            <w:r w:rsidRPr="000C2E93">
              <w:rPr>
                <w:rFonts w:ascii="宋体" w:eastAsia="宋体" w:hAnsi="宋体" w:cs="宋体" w:hint="eastAsia"/>
                <w:sz w:val="18"/>
                <w:szCs w:val="18"/>
              </w:rPr>
              <w:t>对象获</w:t>
            </w:r>
            <w:proofErr w:type="gramEnd"/>
            <w:r w:rsidRPr="000C2E93">
              <w:rPr>
                <w:rFonts w:ascii="宋体" w:eastAsia="宋体" w:hAnsi="宋体" w:cs="宋体" w:hint="eastAsia"/>
                <w:sz w:val="18"/>
                <w:szCs w:val="18"/>
              </w:rPr>
              <w:t>授的限制性股票全部解除限售或回购注销之日止，最长锁定期为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w:t>
            </w:r>
          </w:p>
        </w:tc>
      </w:tr>
    </w:tbl>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①公司于</w:t>
      </w:r>
      <w:r w:rsidRPr="000C2E93">
        <w:rPr>
          <w:rFonts w:ascii="宋体" w:eastAsia="宋体" w:hAnsi="宋体" w:cs="宋体"/>
          <w:sz w:val="18"/>
          <w:szCs w:val="18"/>
        </w:rPr>
        <w:t>2019</w:t>
      </w:r>
      <w:r w:rsidRPr="000C2E93">
        <w:rPr>
          <w:rFonts w:ascii="宋体" w:eastAsia="宋体" w:hAnsi="宋体" w:cs="宋体" w:hint="eastAsia"/>
          <w:sz w:val="18"/>
          <w:szCs w:val="18"/>
        </w:rPr>
        <w:t>年</w:t>
      </w:r>
      <w:r w:rsidRPr="000C2E93">
        <w:rPr>
          <w:rFonts w:ascii="宋体" w:eastAsia="宋体" w:hAnsi="宋体" w:cs="宋体"/>
          <w:sz w:val="18"/>
          <w:szCs w:val="18"/>
        </w:rPr>
        <w:t>12</w:t>
      </w:r>
      <w:r w:rsidRPr="000C2E93">
        <w:rPr>
          <w:rFonts w:ascii="宋体" w:eastAsia="宋体" w:hAnsi="宋体" w:cs="宋体" w:hint="eastAsia"/>
          <w:sz w:val="18"/>
          <w:szCs w:val="18"/>
        </w:rPr>
        <w:t>月</w:t>
      </w:r>
      <w:r w:rsidRPr="000C2E93">
        <w:rPr>
          <w:rFonts w:ascii="宋体" w:eastAsia="宋体" w:hAnsi="宋体" w:cs="宋体"/>
          <w:sz w:val="18"/>
          <w:szCs w:val="18"/>
        </w:rPr>
        <w:t>29</w:t>
      </w:r>
      <w:r w:rsidRPr="000C2E93">
        <w:rPr>
          <w:rFonts w:ascii="宋体" w:eastAsia="宋体" w:hAnsi="宋体" w:cs="宋体" w:hint="eastAsia"/>
          <w:sz w:val="18"/>
          <w:szCs w:val="18"/>
        </w:rPr>
        <w:t>日召开第七届董事会第四次会议审议通过了《关于</w:t>
      </w:r>
      <w:r w:rsidRPr="000C2E93">
        <w:rPr>
          <w:rFonts w:ascii="宋体" w:eastAsia="宋体" w:hAnsi="宋体" w:cs="宋体"/>
          <w:sz w:val="18"/>
          <w:szCs w:val="18"/>
        </w:rPr>
        <w:t>〈2019</w:t>
      </w:r>
      <w:r w:rsidRPr="000C2E93">
        <w:rPr>
          <w:rFonts w:ascii="宋体" w:eastAsia="宋体" w:hAnsi="宋体" w:cs="宋体" w:hint="eastAsia"/>
          <w:sz w:val="18"/>
          <w:szCs w:val="18"/>
        </w:rPr>
        <w:t>年员工持股计划（草案）</w:t>
      </w:r>
      <w:r w:rsidRPr="000C2E93">
        <w:rPr>
          <w:rFonts w:ascii="宋体" w:eastAsia="宋体" w:hAnsi="宋体" w:cs="宋体"/>
          <w:sz w:val="18"/>
          <w:szCs w:val="18"/>
        </w:rPr>
        <w:t>〉</w:t>
      </w:r>
      <w:r w:rsidRPr="000C2E93">
        <w:rPr>
          <w:rFonts w:ascii="宋体" w:eastAsia="宋体" w:hAnsi="宋体" w:cs="宋体" w:hint="eastAsia"/>
          <w:sz w:val="18"/>
          <w:szCs w:val="18"/>
        </w:rPr>
        <w:t>及其摘要的议案》、《关于制定</w:t>
      </w:r>
      <w:r w:rsidRPr="000C2E93">
        <w:rPr>
          <w:rFonts w:ascii="宋体" w:eastAsia="宋体" w:hAnsi="宋体" w:cs="宋体"/>
          <w:sz w:val="18"/>
          <w:szCs w:val="18"/>
        </w:rPr>
        <w:t>〈</w:t>
      </w:r>
      <w:r w:rsidRPr="000C2E93">
        <w:rPr>
          <w:rFonts w:ascii="宋体" w:eastAsia="宋体" w:hAnsi="宋体" w:cs="宋体" w:hint="eastAsia"/>
          <w:sz w:val="18"/>
          <w:szCs w:val="18"/>
        </w:rPr>
        <w:t>员工持股计划管理办法</w:t>
      </w:r>
      <w:r w:rsidRPr="000C2E93">
        <w:rPr>
          <w:rFonts w:ascii="宋体" w:eastAsia="宋体" w:hAnsi="宋体" w:cs="宋体"/>
          <w:sz w:val="18"/>
          <w:szCs w:val="18"/>
        </w:rPr>
        <w:t>〉</w:t>
      </w:r>
      <w:r w:rsidRPr="000C2E93">
        <w:rPr>
          <w:rFonts w:ascii="宋体" w:eastAsia="宋体" w:hAnsi="宋体" w:cs="宋体" w:hint="eastAsia"/>
          <w:sz w:val="18"/>
          <w:szCs w:val="18"/>
        </w:rPr>
        <w:t>的议案》，确定</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持股计划的参加对象为经董事会认定对公司发展有贡献的董事、监事、高级管理人员、公司中高层管理人员、公司核心技术及其他员工，本次员工持股计划参加对象总人数为不超过</w:t>
      </w:r>
      <w:r w:rsidRPr="000C2E93">
        <w:rPr>
          <w:rFonts w:ascii="宋体" w:eastAsia="宋体" w:hAnsi="宋体" w:cs="宋体"/>
          <w:sz w:val="18"/>
          <w:szCs w:val="18"/>
        </w:rPr>
        <w:t>98</w:t>
      </w:r>
      <w:r w:rsidRPr="000C2E93">
        <w:rPr>
          <w:rFonts w:ascii="宋体" w:eastAsia="宋体" w:hAnsi="宋体" w:cs="宋体" w:hint="eastAsia"/>
          <w:sz w:val="18"/>
          <w:szCs w:val="18"/>
        </w:rPr>
        <w:t>人（含），认购</w:t>
      </w:r>
      <w:r w:rsidRPr="000C2E93">
        <w:rPr>
          <w:rFonts w:ascii="宋体" w:eastAsia="宋体" w:hAnsi="宋体" w:cs="宋体"/>
          <w:sz w:val="18"/>
          <w:szCs w:val="18"/>
        </w:rPr>
        <w:t>27,360,900</w:t>
      </w:r>
      <w:r w:rsidRPr="000C2E93">
        <w:rPr>
          <w:rFonts w:ascii="宋体" w:eastAsia="宋体" w:hAnsi="宋体" w:cs="宋体" w:hint="eastAsia"/>
          <w:sz w:val="18"/>
          <w:szCs w:val="18"/>
        </w:rPr>
        <w:t>股限制性股票，股票面值</w:t>
      </w:r>
      <w:r w:rsidRPr="000C2E93">
        <w:rPr>
          <w:rFonts w:ascii="宋体" w:eastAsia="宋体" w:hAnsi="宋体" w:cs="宋体"/>
          <w:sz w:val="18"/>
          <w:szCs w:val="18"/>
        </w:rPr>
        <w:t>1</w:t>
      </w:r>
      <w:r w:rsidRPr="000C2E93">
        <w:rPr>
          <w:rFonts w:ascii="宋体" w:eastAsia="宋体" w:hAnsi="宋体" w:cs="宋体" w:hint="eastAsia"/>
          <w:sz w:val="18"/>
          <w:szCs w:val="18"/>
        </w:rPr>
        <w:t>元，认购价格为</w:t>
      </w:r>
      <w:r w:rsidRPr="000C2E93">
        <w:rPr>
          <w:rFonts w:ascii="宋体" w:eastAsia="宋体" w:hAnsi="宋体" w:cs="宋体"/>
          <w:sz w:val="18"/>
          <w:szCs w:val="18"/>
        </w:rPr>
        <w:t>2.13</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股。本期以权益结算的股份支付确认的费用总额</w:t>
      </w:r>
      <w:r w:rsidRPr="000C2E93">
        <w:rPr>
          <w:rFonts w:ascii="宋体" w:eastAsia="宋体" w:hAnsi="宋体" w:cs="宋体"/>
          <w:sz w:val="18"/>
          <w:szCs w:val="18"/>
        </w:rPr>
        <w:t>5,292,054.07</w:t>
      </w:r>
      <w:r w:rsidRPr="000C2E93">
        <w:rPr>
          <w:rFonts w:ascii="宋体" w:eastAsia="宋体" w:hAnsi="宋体" w:cs="宋体" w:hint="eastAsia"/>
          <w:sz w:val="18"/>
          <w:szCs w:val="18"/>
        </w:rPr>
        <w:t>元。</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②</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持股计划通过</w:t>
      </w:r>
      <w:proofErr w:type="gramStart"/>
      <w:r w:rsidRPr="000C2E93">
        <w:rPr>
          <w:rFonts w:ascii="宋体" w:eastAsia="宋体" w:hAnsi="宋体" w:cs="宋体" w:hint="eastAsia"/>
          <w:sz w:val="18"/>
          <w:szCs w:val="18"/>
        </w:rPr>
        <w:t>非交易</w:t>
      </w:r>
      <w:proofErr w:type="gramEnd"/>
      <w:r w:rsidRPr="000C2E93">
        <w:rPr>
          <w:rFonts w:ascii="宋体" w:eastAsia="宋体" w:hAnsi="宋体" w:cs="宋体" w:hint="eastAsia"/>
          <w:sz w:val="18"/>
          <w:szCs w:val="18"/>
        </w:rPr>
        <w:t>性过户等法律法规许可的方式所获标的股票，分三期解锁，解锁时点分别为自公司公告最后一笔标的股票过户至</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持股计划名下之日起满</w:t>
      </w:r>
      <w:r w:rsidRPr="000C2E93">
        <w:rPr>
          <w:rFonts w:ascii="宋体" w:eastAsia="宋体" w:hAnsi="宋体" w:cs="宋体"/>
          <w:sz w:val="18"/>
          <w:szCs w:val="18"/>
        </w:rPr>
        <w:t>12</w:t>
      </w:r>
      <w:r w:rsidRPr="000C2E93">
        <w:rPr>
          <w:rFonts w:ascii="宋体" w:eastAsia="宋体" w:hAnsi="宋体" w:cs="宋体" w:hint="eastAsia"/>
          <w:sz w:val="18"/>
          <w:szCs w:val="18"/>
        </w:rPr>
        <w:t>个月、</w:t>
      </w:r>
      <w:r w:rsidRPr="000C2E93">
        <w:rPr>
          <w:rFonts w:ascii="宋体" w:eastAsia="宋体" w:hAnsi="宋体" w:cs="宋体"/>
          <w:sz w:val="18"/>
          <w:szCs w:val="18"/>
        </w:rPr>
        <w:t>24</w:t>
      </w:r>
      <w:r w:rsidRPr="000C2E93">
        <w:rPr>
          <w:rFonts w:ascii="宋体" w:eastAsia="宋体" w:hAnsi="宋体" w:cs="宋体" w:hint="eastAsia"/>
          <w:sz w:val="18"/>
          <w:szCs w:val="18"/>
        </w:rPr>
        <w:t>个月、</w:t>
      </w:r>
      <w:r w:rsidRPr="000C2E93">
        <w:rPr>
          <w:rFonts w:ascii="宋体" w:eastAsia="宋体" w:hAnsi="宋体" w:cs="宋体"/>
          <w:sz w:val="18"/>
          <w:szCs w:val="18"/>
        </w:rPr>
        <w:t>36</w:t>
      </w:r>
      <w:r w:rsidRPr="000C2E93">
        <w:rPr>
          <w:rFonts w:ascii="宋体" w:eastAsia="宋体" w:hAnsi="宋体" w:cs="宋体" w:hint="eastAsia"/>
          <w:sz w:val="18"/>
          <w:szCs w:val="18"/>
        </w:rPr>
        <w:t>个月，最长锁定期为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个月，每期解锁的标的股票比例分别为</w:t>
      </w:r>
      <w:r w:rsidRPr="000C2E93">
        <w:rPr>
          <w:rFonts w:ascii="宋体" w:eastAsia="宋体" w:hAnsi="宋体" w:cs="宋体"/>
          <w:sz w:val="18"/>
          <w:szCs w:val="18"/>
        </w:rPr>
        <w:t>40%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，各年度具体解锁比例和数量根据公司业绩指标和持有人考核结果计算确定。</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③</w:t>
      </w:r>
      <w:r w:rsidRPr="000C2E93">
        <w:rPr>
          <w:rFonts w:ascii="宋体" w:eastAsia="宋体" w:hAnsi="宋体" w:cs="宋体"/>
          <w:sz w:val="18"/>
          <w:szCs w:val="18"/>
        </w:rPr>
        <w:t>2020</w:t>
      </w:r>
      <w:r w:rsidRPr="000C2E93">
        <w:rPr>
          <w:rFonts w:ascii="宋体" w:eastAsia="宋体" w:hAnsi="宋体" w:cs="宋体" w:hint="eastAsia"/>
          <w:sz w:val="18"/>
          <w:szCs w:val="18"/>
        </w:rPr>
        <w:t>年</w:t>
      </w:r>
      <w:r w:rsidRPr="000C2E93">
        <w:rPr>
          <w:rFonts w:ascii="宋体" w:eastAsia="宋体" w:hAnsi="宋体" w:cs="宋体"/>
          <w:sz w:val="18"/>
          <w:szCs w:val="18"/>
        </w:rPr>
        <w:t>1</w:t>
      </w:r>
      <w:r w:rsidRPr="000C2E93">
        <w:rPr>
          <w:rFonts w:ascii="宋体" w:eastAsia="宋体" w:hAnsi="宋体" w:cs="宋体" w:hint="eastAsia"/>
          <w:sz w:val="18"/>
          <w:szCs w:val="18"/>
        </w:rPr>
        <w:t>月</w:t>
      </w:r>
      <w:r w:rsidRPr="000C2E93">
        <w:rPr>
          <w:rFonts w:ascii="宋体" w:eastAsia="宋体" w:hAnsi="宋体" w:cs="宋体"/>
          <w:sz w:val="18"/>
          <w:szCs w:val="18"/>
        </w:rPr>
        <w:t>20</w:t>
      </w:r>
      <w:r w:rsidRPr="000C2E93">
        <w:rPr>
          <w:rFonts w:ascii="宋体" w:eastAsia="宋体" w:hAnsi="宋体" w:cs="宋体" w:hint="eastAsia"/>
          <w:sz w:val="18"/>
          <w:szCs w:val="18"/>
        </w:rPr>
        <w:t>日，公司收到中国证券登记结算有限责任公司深圳分公司下发的《证券过户登记确认书》，</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软控股份有限公司回购专用证券账户</w:t>
      </w:r>
      <w:r w:rsidRPr="000C2E93">
        <w:rPr>
          <w:rFonts w:ascii="宋体" w:eastAsia="宋体" w:hAnsi="宋体" w:cs="宋体"/>
          <w:sz w:val="18"/>
          <w:szCs w:val="18"/>
        </w:rPr>
        <w:t>”</w:t>
      </w:r>
      <w:r w:rsidRPr="000C2E93">
        <w:rPr>
          <w:rFonts w:ascii="宋体" w:eastAsia="宋体" w:hAnsi="宋体" w:cs="宋体" w:hint="eastAsia"/>
          <w:sz w:val="18"/>
          <w:szCs w:val="18"/>
        </w:rPr>
        <w:t>所持有的公司股票已于</w:t>
      </w:r>
      <w:r w:rsidRPr="000C2E93">
        <w:rPr>
          <w:rFonts w:ascii="宋体" w:eastAsia="宋体" w:hAnsi="宋体" w:cs="宋体"/>
          <w:sz w:val="18"/>
          <w:szCs w:val="18"/>
        </w:rPr>
        <w:t>2020</w:t>
      </w:r>
      <w:r w:rsidRPr="000C2E93">
        <w:rPr>
          <w:rFonts w:ascii="宋体" w:eastAsia="宋体" w:hAnsi="宋体" w:cs="宋体" w:hint="eastAsia"/>
          <w:sz w:val="18"/>
          <w:szCs w:val="18"/>
        </w:rPr>
        <w:t>年</w:t>
      </w:r>
      <w:r w:rsidRPr="000C2E93">
        <w:rPr>
          <w:rFonts w:ascii="宋体" w:eastAsia="宋体" w:hAnsi="宋体" w:cs="宋体"/>
          <w:sz w:val="18"/>
          <w:szCs w:val="18"/>
        </w:rPr>
        <w:t>1</w:t>
      </w:r>
      <w:r w:rsidRPr="000C2E93">
        <w:rPr>
          <w:rFonts w:ascii="宋体" w:eastAsia="宋体" w:hAnsi="宋体" w:cs="宋体" w:hint="eastAsia"/>
          <w:sz w:val="18"/>
          <w:szCs w:val="18"/>
        </w:rPr>
        <w:t>月</w:t>
      </w:r>
      <w:r w:rsidRPr="000C2E93">
        <w:rPr>
          <w:rFonts w:ascii="宋体" w:eastAsia="宋体" w:hAnsi="宋体" w:cs="宋体"/>
          <w:sz w:val="18"/>
          <w:szCs w:val="18"/>
        </w:rPr>
        <w:t>20</w:t>
      </w:r>
      <w:r w:rsidRPr="000C2E93">
        <w:rPr>
          <w:rFonts w:ascii="宋体" w:eastAsia="宋体" w:hAnsi="宋体" w:cs="宋体" w:hint="eastAsia"/>
          <w:sz w:val="18"/>
          <w:szCs w:val="18"/>
        </w:rPr>
        <w:t>日</w:t>
      </w:r>
      <w:proofErr w:type="gramStart"/>
      <w:r w:rsidRPr="000C2E93">
        <w:rPr>
          <w:rFonts w:ascii="宋体" w:eastAsia="宋体" w:hAnsi="宋体" w:cs="宋体" w:hint="eastAsia"/>
          <w:sz w:val="18"/>
          <w:szCs w:val="18"/>
        </w:rPr>
        <w:t>非交易</w:t>
      </w:r>
      <w:proofErr w:type="gramEnd"/>
      <w:r w:rsidRPr="000C2E93">
        <w:rPr>
          <w:rFonts w:ascii="宋体" w:eastAsia="宋体" w:hAnsi="宋体" w:cs="宋体" w:hint="eastAsia"/>
          <w:sz w:val="18"/>
          <w:szCs w:val="18"/>
        </w:rPr>
        <w:t>过户至</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w:t>
      </w:r>
      <w:r w:rsidRPr="000C2E93">
        <w:rPr>
          <w:rFonts w:ascii="宋体" w:eastAsia="宋体" w:hAnsi="宋体" w:cs="宋体" w:hint="eastAsia"/>
          <w:sz w:val="18"/>
          <w:szCs w:val="18"/>
        </w:rPr>
        <w:t>第一期员工持股计划</w:t>
      </w:r>
      <w:r w:rsidRPr="000C2E93">
        <w:rPr>
          <w:rFonts w:ascii="宋体" w:eastAsia="宋体" w:hAnsi="宋体" w:cs="宋体"/>
          <w:sz w:val="18"/>
          <w:szCs w:val="18"/>
        </w:rPr>
        <w:t>”</w:t>
      </w:r>
      <w:r w:rsidRPr="000C2E93">
        <w:rPr>
          <w:rFonts w:ascii="宋体" w:eastAsia="宋体" w:hAnsi="宋体" w:cs="宋体" w:hint="eastAsia"/>
          <w:sz w:val="18"/>
          <w:szCs w:val="18"/>
        </w:rPr>
        <w:t>，过户股数为</w:t>
      </w:r>
      <w:r w:rsidRPr="000C2E93">
        <w:rPr>
          <w:rFonts w:ascii="宋体" w:eastAsia="宋体" w:hAnsi="宋体" w:cs="宋体"/>
          <w:sz w:val="18"/>
          <w:szCs w:val="18"/>
        </w:rPr>
        <w:t>27,360,900</w:t>
      </w:r>
      <w:r w:rsidRPr="000C2E93">
        <w:rPr>
          <w:rFonts w:ascii="宋体" w:eastAsia="宋体" w:hAnsi="宋体" w:cs="宋体" w:hint="eastAsia"/>
          <w:sz w:val="18"/>
          <w:szCs w:val="18"/>
        </w:rPr>
        <w:t>股。过户价格为</w:t>
      </w:r>
      <w:r w:rsidRPr="000C2E93">
        <w:rPr>
          <w:rFonts w:ascii="宋体" w:eastAsia="宋体" w:hAnsi="宋体" w:cs="宋体"/>
          <w:sz w:val="18"/>
          <w:szCs w:val="18"/>
        </w:rPr>
        <w:t>2.13</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股。公司全部有效的员工持股计划所持有的股票总数累计未超过公司股本总额的</w:t>
      </w:r>
      <w:r w:rsidRPr="000C2E93">
        <w:rPr>
          <w:rFonts w:ascii="宋体" w:eastAsia="宋体" w:hAnsi="宋体" w:cs="宋体"/>
          <w:sz w:val="18"/>
          <w:szCs w:val="18"/>
        </w:rPr>
        <w:t>10%</w:t>
      </w:r>
      <w:r w:rsidRPr="000C2E93">
        <w:rPr>
          <w:rFonts w:ascii="宋体" w:eastAsia="宋体" w:hAnsi="宋体" w:cs="宋体" w:hint="eastAsia"/>
          <w:sz w:val="18"/>
          <w:szCs w:val="18"/>
        </w:rPr>
        <w:t>，单个员工所获股份权益对应的股票总数累计未超过公司股本总额的</w:t>
      </w:r>
      <w:r w:rsidRPr="000C2E93">
        <w:rPr>
          <w:rFonts w:ascii="宋体" w:eastAsia="宋体" w:hAnsi="宋体" w:cs="宋体"/>
          <w:sz w:val="18"/>
          <w:szCs w:val="18"/>
        </w:rPr>
        <w:t>1%</w:t>
      </w:r>
      <w:r w:rsidRPr="000C2E93">
        <w:rPr>
          <w:rFonts w:ascii="宋体" w:eastAsia="宋体" w:hAnsi="宋体" w:cs="宋体" w:hint="eastAsia"/>
          <w:sz w:val="18"/>
          <w:szCs w:val="18"/>
        </w:rPr>
        <w:t>。</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④</w:t>
      </w:r>
      <w:r w:rsidRPr="000C2E93">
        <w:rPr>
          <w:rFonts w:ascii="宋体" w:eastAsia="宋体" w:hAnsi="宋体" w:cs="宋体"/>
          <w:sz w:val="18"/>
          <w:szCs w:val="18"/>
        </w:rPr>
        <w:t>2020</w:t>
      </w:r>
      <w:r w:rsidRPr="000C2E93">
        <w:rPr>
          <w:rFonts w:ascii="宋体" w:eastAsia="宋体" w:hAnsi="宋体" w:cs="宋体" w:hint="eastAsia"/>
          <w:sz w:val="18"/>
          <w:szCs w:val="18"/>
        </w:rPr>
        <w:t>年受国内外经济形势的不确定性仍将对短期经营产生影响，尤其是随着公司国际化战略的推进，出口项目订单占比超</w:t>
      </w:r>
      <w:r w:rsidRPr="000C2E93">
        <w:rPr>
          <w:rFonts w:ascii="宋体" w:eastAsia="宋体" w:hAnsi="宋体" w:cs="宋体"/>
          <w:sz w:val="18"/>
          <w:szCs w:val="18"/>
        </w:rPr>
        <w:t>50%</w:t>
      </w:r>
      <w:r w:rsidRPr="000C2E93">
        <w:rPr>
          <w:rFonts w:ascii="宋体" w:eastAsia="宋体" w:hAnsi="宋体" w:cs="宋体" w:hint="eastAsia"/>
          <w:sz w:val="18"/>
          <w:szCs w:val="18"/>
        </w:rPr>
        <w:t>，由此今年以来受物流及交付延期（尤其出口项目）影响明显，考虑到公司实际情况，</w:t>
      </w:r>
      <w:r w:rsidRPr="000C2E93">
        <w:rPr>
          <w:rFonts w:ascii="宋体" w:eastAsia="宋体" w:hAnsi="宋体" w:cs="宋体"/>
          <w:sz w:val="18"/>
          <w:szCs w:val="18"/>
        </w:rPr>
        <w:t>2020</w:t>
      </w:r>
      <w:r w:rsidRPr="000C2E93">
        <w:rPr>
          <w:rFonts w:ascii="宋体" w:eastAsia="宋体" w:hAnsi="宋体" w:cs="宋体" w:hint="eastAsia"/>
          <w:sz w:val="18"/>
          <w:szCs w:val="18"/>
        </w:rPr>
        <w:t>年</w:t>
      </w:r>
      <w:r w:rsidRPr="000C2E93">
        <w:rPr>
          <w:rFonts w:ascii="宋体" w:eastAsia="宋体" w:hAnsi="宋体" w:cs="宋体"/>
          <w:sz w:val="18"/>
          <w:szCs w:val="18"/>
        </w:rPr>
        <w:t>4</w:t>
      </w:r>
      <w:r w:rsidRPr="000C2E93">
        <w:rPr>
          <w:rFonts w:ascii="宋体" w:eastAsia="宋体" w:hAnsi="宋体" w:cs="宋体" w:hint="eastAsia"/>
          <w:sz w:val="18"/>
          <w:szCs w:val="18"/>
        </w:rPr>
        <w:t>月</w:t>
      </w:r>
      <w:r w:rsidRPr="000C2E93">
        <w:rPr>
          <w:rFonts w:ascii="宋体" w:eastAsia="宋体" w:hAnsi="宋体" w:cs="宋体"/>
          <w:sz w:val="18"/>
          <w:szCs w:val="18"/>
        </w:rPr>
        <w:t>17</w:t>
      </w:r>
      <w:r w:rsidRPr="000C2E93">
        <w:rPr>
          <w:rFonts w:ascii="宋体" w:eastAsia="宋体" w:hAnsi="宋体" w:cs="宋体" w:hint="eastAsia"/>
          <w:sz w:val="18"/>
          <w:szCs w:val="18"/>
        </w:rPr>
        <w:t>日公司发布《软控股份有限公司关于修订</w:t>
      </w:r>
      <w:r w:rsidRPr="000C2E93">
        <w:rPr>
          <w:rFonts w:ascii="宋体" w:eastAsia="宋体" w:hAnsi="宋体" w:cs="宋体"/>
          <w:sz w:val="18"/>
          <w:szCs w:val="18"/>
        </w:rPr>
        <w:t>2019</w:t>
      </w:r>
      <w:r w:rsidRPr="000C2E93">
        <w:rPr>
          <w:rFonts w:ascii="宋体" w:eastAsia="宋体" w:hAnsi="宋体" w:cs="宋体" w:hint="eastAsia"/>
          <w:sz w:val="18"/>
          <w:szCs w:val="18"/>
        </w:rPr>
        <w:t>年员工持股计划公司业绩考核指标的公告》，修改后条款如下：</w:t>
      </w:r>
    </w:p>
    <w:tbl>
      <w:tblPr>
        <w:tblW w:w="9629" w:type="dxa"/>
        <w:tblCellMar>
          <w:left w:w="0" w:type="dxa"/>
          <w:right w:w="0" w:type="dxa"/>
        </w:tblCellMar>
        <w:tblLook w:val="04A0" w:firstRow="1" w:lastRow="0" w:firstColumn="1" w:lastColumn="0" w:noHBand="0" w:noVBand="1"/>
      </w:tblPr>
      <w:tblGrid>
        <w:gridCol w:w="2040"/>
        <w:gridCol w:w="7589"/>
      </w:tblGrid>
      <w:tr w:rsidR="008D4B2E" w:rsidTr="00B87081">
        <w:trPr>
          <w:divId w:val="525408917"/>
          <w:trHeight w:val="398"/>
        </w:trPr>
        <w:tc>
          <w:tcPr>
            <w:tcW w:w="2040" w:type="dxa"/>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10486D" w:rsidRDefault="008D4B2E" w:rsidP="0010486D">
            <w:pPr>
              <w:spacing w:line="240" w:lineRule="exact"/>
              <w:jc w:val="center"/>
              <w:rPr>
                <w:rFonts w:ascii="宋体" w:eastAsia="宋体" w:hAnsi="宋体" w:cs="宋体"/>
                <w:sz w:val="18"/>
                <w:szCs w:val="18"/>
              </w:rPr>
            </w:pPr>
            <w:r w:rsidRPr="0010486D">
              <w:rPr>
                <w:rFonts w:ascii="宋体" w:eastAsia="宋体" w:hAnsi="宋体" w:cs="宋体" w:hint="eastAsia"/>
                <w:sz w:val="18"/>
                <w:szCs w:val="18"/>
              </w:rPr>
              <w:t>解锁期</w:t>
            </w:r>
          </w:p>
        </w:tc>
        <w:tc>
          <w:tcPr>
            <w:tcW w:w="7589" w:type="dxa"/>
            <w:tcBorders>
              <w:top w:val="single" w:sz="8" w:space="0" w:color="auto"/>
              <w:left w:val="nil"/>
              <w:bottom w:val="single" w:sz="8" w:space="0" w:color="auto"/>
              <w:right w:val="single" w:sz="8" w:space="0" w:color="auto"/>
            </w:tcBorders>
            <w:shd w:val="clear" w:color="auto" w:fill="D3D3D3"/>
            <w:vAlign w:val="center"/>
            <w:hideMark/>
          </w:tcPr>
          <w:p w:rsidR="008D4B2E" w:rsidRPr="0010486D" w:rsidRDefault="008D4B2E" w:rsidP="0010486D">
            <w:pPr>
              <w:spacing w:line="240" w:lineRule="exact"/>
              <w:jc w:val="center"/>
              <w:rPr>
                <w:rFonts w:ascii="宋体" w:eastAsia="宋体" w:hAnsi="宋体" w:cs="宋体"/>
                <w:sz w:val="18"/>
                <w:szCs w:val="18"/>
              </w:rPr>
            </w:pPr>
            <w:r w:rsidRPr="0010486D">
              <w:rPr>
                <w:rFonts w:ascii="宋体" w:eastAsia="宋体" w:hAnsi="宋体" w:cs="宋体" w:hint="eastAsia"/>
                <w:sz w:val="18"/>
                <w:szCs w:val="18"/>
              </w:rPr>
              <w:t>业绩考核目标</w:t>
            </w:r>
          </w:p>
        </w:tc>
      </w:tr>
      <w:tr w:rsidR="008D4B2E" w:rsidTr="00B87081">
        <w:trPr>
          <w:divId w:val="525408917"/>
          <w:trHeight w:val="546"/>
        </w:trPr>
        <w:tc>
          <w:tcPr>
            <w:tcW w:w="2040"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第一个解锁期</w:t>
            </w:r>
          </w:p>
        </w:tc>
        <w:tc>
          <w:tcPr>
            <w:tcW w:w="7589" w:type="dxa"/>
            <w:tcBorders>
              <w:top w:val="nil"/>
              <w:left w:val="nil"/>
              <w:bottom w:val="single" w:sz="8" w:space="0" w:color="auto"/>
              <w:right w:val="single" w:sz="8" w:space="0" w:color="auto"/>
            </w:tcBorders>
            <w:vAlign w:val="center"/>
            <w:hideMark/>
          </w:tcPr>
          <w:p w:rsidR="008D4B2E" w:rsidRPr="000C2E93" w:rsidRDefault="008D4B2E" w:rsidP="0010486D">
            <w:pPr>
              <w:spacing w:line="240" w:lineRule="exact"/>
              <w:rPr>
                <w:rFonts w:ascii="宋体" w:eastAsia="宋体" w:hAnsi="宋体" w:cs="宋体"/>
                <w:sz w:val="18"/>
                <w:szCs w:val="18"/>
              </w:rPr>
            </w:pPr>
            <w:r w:rsidRPr="000C2E93">
              <w:rPr>
                <w:rFonts w:ascii="宋体" w:eastAsia="宋体" w:hAnsi="宋体" w:cs="宋体" w:hint="eastAsia"/>
                <w:sz w:val="18"/>
                <w:szCs w:val="18"/>
              </w:rPr>
              <w:t>公司需满足下列两个条件之一：①</w:t>
            </w:r>
            <w:r w:rsidRPr="000C2E93">
              <w:rPr>
                <w:rFonts w:ascii="宋体" w:eastAsia="宋体" w:hAnsi="宋体" w:cs="宋体"/>
                <w:sz w:val="18"/>
                <w:szCs w:val="18"/>
              </w:rPr>
              <w:t>2019</w:t>
            </w:r>
            <w:r w:rsidRPr="000C2E93">
              <w:rPr>
                <w:rFonts w:ascii="宋体" w:eastAsia="宋体" w:hAnsi="宋体" w:cs="宋体" w:hint="eastAsia"/>
                <w:sz w:val="18"/>
                <w:szCs w:val="18"/>
              </w:rPr>
              <w:t>年营业收入不低于</w:t>
            </w:r>
            <w:r w:rsidRPr="000C2E93">
              <w:rPr>
                <w:rFonts w:ascii="宋体" w:eastAsia="宋体" w:hAnsi="宋体" w:cs="宋体"/>
                <w:sz w:val="18"/>
                <w:szCs w:val="18"/>
              </w:rPr>
              <w:t>270,000</w:t>
            </w:r>
            <w:r w:rsidRPr="000C2E93">
              <w:rPr>
                <w:rFonts w:ascii="宋体" w:eastAsia="宋体" w:hAnsi="宋体" w:cs="宋体" w:hint="eastAsia"/>
                <w:sz w:val="18"/>
                <w:szCs w:val="18"/>
              </w:rPr>
              <w:t>万元；或②</w:t>
            </w:r>
            <w:r w:rsidRPr="000C2E93">
              <w:rPr>
                <w:rFonts w:ascii="宋体" w:eastAsia="宋体" w:hAnsi="宋体" w:cs="宋体"/>
                <w:sz w:val="18"/>
                <w:szCs w:val="18"/>
              </w:rPr>
              <w:t>2019</w:t>
            </w:r>
            <w:r w:rsidRPr="000C2E93">
              <w:rPr>
                <w:rFonts w:ascii="宋体" w:eastAsia="宋体" w:hAnsi="宋体" w:cs="宋体" w:hint="eastAsia"/>
                <w:sz w:val="18"/>
                <w:szCs w:val="18"/>
              </w:rPr>
              <w:t>年净利润不低于</w:t>
            </w:r>
            <w:r w:rsidRPr="000C2E93">
              <w:rPr>
                <w:rFonts w:ascii="宋体" w:eastAsia="宋体" w:hAnsi="宋体" w:cs="宋体"/>
                <w:sz w:val="18"/>
                <w:szCs w:val="18"/>
              </w:rPr>
              <w:t>8,000</w:t>
            </w:r>
            <w:r w:rsidRPr="000C2E93">
              <w:rPr>
                <w:rFonts w:ascii="宋体" w:eastAsia="宋体" w:hAnsi="宋体" w:cs="宋体" w:hint="eastAsia"/>
                <w:sz w:val="18"/>
                <w:szCs w:val="18"/>
              </w:rPr>
              <w:t>万元</w:t>
            </w:r>
          </w:p>
        </w:tc>
      </w:tr>
      <w:tr w:rsidR="008D4B2E" w:rsidTr="00B87081">
        <w:trPr>
          <w:divId w:val="525408917"/>
          <w:trHeight w:val="540"/>
        </w:trPr>
        <w:tc>
          <w:tcPr>
            <w:tcW w:w="2040"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第二个解锁期</w:t>
            </w:r>
          </w:p>
        </w:tc>
        <w:tc>
          <w:tcPr>
            <w:tcW w:w="7589" w:type="dxa"/>
            <w:tcBorders>
              <w:top w:val="nil"/>
              <w:left w:val="nil"/>
              <w:bottom w:val="single" w:sz="8" w:space="0" w:color="auto"/>
              <w:right w:val="single" w:sz="8" w:space="0" w:color="auto"/>
            </w:tcBorders>
            <w:vAlign w:val="center"/>
            <w:hideMark/>
          </w:tcPr>
          <w:p w:rsidR="008D4B2E" w:rsidRPr="000C2E93" w:rsidRDefault="008D4B2E" w:rsidP="0010486D">
            <w:pPr>
              <w:spacing w:line="240" w:lineRule="exact"/>
              <w:rPr>
                <w:rFonts w:ascii="宋体" w:eastAsia="宋体" w:hAnsi="宋体" w:cs="宋体"/>
                <w:sz w:val="18"/>
                <w:szCs w:val="18"/>
              </w:rPr>
            </w:pPr>
            <w:r w:rsidRPr="000C2E93">
              <w:rPr>
                <w:rFonts w:ascii="宋体" w:eastAsia="宋体" w:hAnsi="宋体" w:cs="宋体" w:hint="eastAsia"/>
                <w:sz w:val="18"/>
                <w:szCs w:val="18"/>
              </w:rPr>
              <w:t>公司需满足下列两个条件之一：①</w:t>
            </w:r>
            <w:r w:rsidRPr="000C2E93">
              <w:rPr>
                <w:rFonts w:ascii="宋体" w:eastAsia="宋体" w:hAnsi="宋体" w:cs="宋体"/>
                <w:sz w:val="18"/>
                <w:szCs w:val="18"/>
              </w:rPr>
              <w:t>2020</w:t>
            </w:r>
            <w:r w:rsidRPr="000C2E93">
              <w:rPr>
                <w:rFonts w:ascii="宋体" w:eastAsia="宋体" w:hAnsi="宋体" w:cs="宋体" w:hint="eastAsia"/>
                <w:sz w:val="18"/>
                <w:szCs w:val="18"/>
              </w:rPr>
              <w:t>年营业收入不低于</w:t>
            </w:r>
            <w:r w:rsidRPr="000C2E93">
              <w:rPr>
                <w:rFonts w:ascii="宋体" w:eastAsia="宋体" w:hAnsi="宋体" w:cs="宋体"/>
                <w:sz w:val="18"/>
                <w:szCs w:val="18"/>
              </w:rPr>
              <w:t>200,000</w:t>
            </w:r>
            <w:r w:rsidRPr="000C2E93">
              <w:rPr>
                <w:rFonts w:ascii="宋体" w:eastAsia="宋体" w:hAnsi="宋体" w:cs="宋体" w:hint="eastAsia"/>
                <w:sz w:val="18"/>
                <w:szCs w:val="18"/>
              </w:rPr>
              <w:t>万元；或②</w:t>
            </w:r>
            <w:r w:rsidRPr="000C2E93">
              <w:rPr>
                <w:rFonts w:ascii="宋体" w:eastAsia="宋体" w:hAnsi="宋体" w:cs="宋体"/>
                <w:sz w:val="18"/>
                <w:szCs w:val="18"/>
              </w:rPr>
              <w:t>2020</w:t>
            </w:r>
            <w:r w:rsidRPr="000C2E93">
              <w:rPr>
                <w:rFonts w:ascii="宋体" w:eastAsia="宋体" w:hAnsi="宋体" w:cs="宋体" w:hint="eastAsia"/>
                <w:sz w:val="18"/>
                <w:szCs w:val="18"/>
              </w:rPr>
              <w:t>年净利润不低于</w:t>
            </w:r>
            <w:r w:rsidRPr="000C2E93">
              <w:rPr>
                <w:rFonts w:ascii="宋体" w:eastAsia="宋体" w:hAnsi="宋体" w:cs="宋体"/>
                <w:sz w:val="18"/>
                <w:szCs w:val="18"/>
              </w:rPr>
              <w:t>5,000</w:t>
            </w:r>
            <w:r w:rsidRPr="000C2E93">
              <w:rPr>
                <w:rFonts w:ascii="宋体" w:eastAsia="宋体" w:hAnsi="宋体" w:cs="宋体" w:hint="eastAsia"/>
                <w:sz w:val="18"/>
                <w:szCs w:val="18"/>
              </w:rPr>
              <w:t>万元</w:t>
            </w:r>
          </w:p>
        </w:tc>
      </w:tr>
      <w:tr w:rsidR="008D4B2E" w:rsidTr="00B87081">
        <w:trPr>
          <w:divId w:val="525408917"/>
          <w:trHeight w:val="548"/>
        </w:trPr>
        <w:tc>
          <w:tcPr>
            <w:tcW w:w="2040"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第三个解锁期</w:t>
            </w:r>
          </w:p>
        </w:tc>
        <w:tc>
          <w:tcPr>
            <w:tcW w:w="7589" w:type="dxa"/>
            <w:tcBorders>
              <w:top w:val="nil"/>
              <w:left w:val="nil"/>
              <w:bottom w:val="single" w:sz="8" w:space="0" w:color="auto"/>
              <w:right w:val="single" w:sz="8" w:space="0" w:color="auto"/>
            </w:tcBorders>
            <w:vAlign w:val="center"/>
            <w:hideMark/>
          </w:tcPr>
          <w:p w:rsidR="008D4B2E" w:rsidRPr="000C2E93" w:rsidRDefault="008D4B2E" w:rsidP="0010486D">
            <w:pPr>
              <w:spacing w:line="240" w:lineRule="exact"/>
              <w:rPr>
                <w:rFonts w:ascii="宋体" w:eastAsia="宋体" w:hAnsi="宋体" w:cs="宋体"/>
                <w:sz w:val="18"/>
                <w:szCs w:val="18"/>
              </w:rPr>
            </w:pPr>
            <w:r w:rsidRPr="000C2E93">
              <w:rPr>
                <w:rFonts w:ascii="宋体" w:eastAsia="宋体" w:hAnsi="宋体" w:cs="宋体" w:hint="eastAsia"/>
                <w:sz w:val="18"/>
                <w:szCs w:val="18"/>
              </w:rPr>
              <w:t>公司需满足下列两个条件之一：①</w:t>
            </w:r>
            <w:r w:rsidRPr="000C2E93">
              <w:rPr>
                <w:rFonts w:ascii="宋体" w:eastAsia="宋体" w:hAnsi="宋体" w:cs="宋体"/>
                <w:sz w:val="18"/>
                <w:szCs w:val="18"/>
              </w:rPr>
              <w:t>2021</w:t>
            </w:r>
            <w:r w:rsidRPr="000C2E93">
              <w:rPr>
                <w:rFonts w:ascii="宋体" w:eastAsia="宋体" w:hAnsi="宋体" w:cs="宋体" w:hint="eastAsia"/>
                <w:sz w:val="18"/>
                <w:szCs w:val="18"/>
              </w:rPr>
              <w:t>年营业收入不低于</w:t>
            </w:r>
            <w:r w:rsidRPr="000C2E93">
              <w:rPr>
                <w:rFonts w:ascii="宋体" w:eastAsia="宋体" w:hAnsi="宋体" w:cs="宋体"/>
                <w:sz w:val="18"/>
                <w:szCs w:val="18"/>
              </w:rPr>
              <w:t>300,000</w:t>
            </w:r>
            <w:r w:rsidRPr="000C2E93">
              <w:rPr>
                <w:rFonts w:ascii="宋体" w:eastAsia="宋体" w:hAnsi="宋体" w:cs="宋体" w:hint="eastAsia"/>
                <w:sz w:val="18"/>
                <w:szCs w:val="18"/>
              </w:rPr>
              <w:t>万元；或②</w:t>
            </w:r>
            <w:r w:rsidRPr="000C2E93">
              <w:rPr>
                <w:rFonts w:ascii="宋体" w:eastAsia="宋体" w:hAnsi="宋体" w:cs="宋体"/>
                <w:sz w:val="18"/>
                <w:szCs w:val="18"/>
              </w:rPr>
              <w:t>2021</w:t>
            </w:r>
            <w:r w:rsidRPr="000C2E93">
              <w:rPr>
                <w:rFonts w:ascii="宋体" w:eastAsia="宋体" w:hAnsi="宋体" w:cs="宋体" w:hint="eastAsia"/>
                <w:sz w:val="18"/>
                <w:szCs w:val="18"/>
              </w:rPr>
              <w:t>年净利润不低于</w:t>
            </w:r>
            <w:r w:rsidRPr="000C2E93">
              <w:rPr>
                <w:rFonts w:ascii="宋体" w:eastAsia="宋体" w:hAnsi="宋体" w:cs="宋体"/>
                <w:sz w:val="18"/>
                <w:szCs w:val="18"/>
              </w:rPr>
              <w:t>1</w:t>
            </w:r>
            <w:r w:rsidRPr="000C2E93">
              <w:rPr>
                <w:rFonts w:ascii="宋体" w:eastAsia="宋体" w:hAnsi="宋体" w:cs="宋体" w:hint="eastAsia"/>
                <w:sz w:val="18"/>
                <w:szCs w:val="18"/>
              </w:rPr>
              <w:t>亿元</w:t>
            </w:r>
          </w:p>
        </w:tc>
      </w:tr>
    </w:tbl>
    <w:p w:rsidR="008D4B2E" w:rsidRPr="000C2E93" w:rsidRDefault="008D4B2E" w:rsidP="00B87081">
      <w:pPr>
        <w:divId w:val="525408917"/>
        <w:rPr>
          <w:rFonts w:ascii="宋体" w:eastAsia="宋体" w:hAnsi="宋体" w:cs="宋体"/>
          <w:sz w:val="18"/>
          <w:szCs w:val="18"/>
        </w:rPr>
      </w:pPr>
      <w:r w:rsidRPr="000C2E93">
        <w:rPr>
          <w:rFonts w:ascii="宋体" w:eastAsia="宋体" w:hAnsi="宋体" w:cs="宋体" w:hint="eastAsia"/>
          <w:sz w:val="18"/>
          <w:szCs w:val="18"/>
        </w:rPr>
        <w:t>注：上述</w:t>
      </w:r>
      <w:r w:rsidRPr="000C2E93">
        <w:rPr>
          <w:rFonts w:ascii="宋体" w:eastAsia="宋体" w:hAnsi="宋体" w:cs="宋体"/>
          <w:sz w:val="18"/>
          <w:szCs w:val="18"/>
        </w:rPr>
        <w:t>“</w:t>
      </w:r>
      <w:r w:rsidRPr="000C2E93">
        <w:rPr>
          <w:rFonts w:ascii="宋体" w:eastAsia="宋体" w:hAnsi="宋体" w:cs="宋体" w:hint="eastAsia"/>
          <w:sz w:val="18"/>
          <w:szCs w:val="18"/>
        </w:rPr>
        <w:t>营业收入</w:t>
      </w:r>
      <w:r w:rsidRPr="000C2E93">
        <w:rPr>
          <w:rFonts w:ascii="宋体" w:eastAsia="宋体" w:hAnsi="宋体" w:cs="宋体"/>
          <w:sz w:val="18"/>
          <w:szCs w:val="18"/>
        </w:rPr>
        <w:t>”</w:t>
      </w:r>
      <w:r w:rsidRPr="000C2E93">
        <w:rPr>
          <w:rFonts w:ascii="宋体" w:eastAsia="宋体" w:hAnsi="宋体" w:cs="宋体" w:hint="eastAsia"/>
          <w:sz w:val="18"/>
          <w:szCs w:val="18"/>
        </w:rPr>
        <w:t>和</w:t>
      </w:r>
      <w:r w:rsidRPr="000C2E93">
        <w:rPr>
          <w:rFonts w:ascii="宋体" w:eastAsia="宋体" w:hAnsi="宋体" w:cs="宋体"/>
          <w:sz w:val="18"/>
          <w:szCs w:val="18"/>
        </w:rPr>
        <w:t>“</w:t>
      </w:r>
      <w:r w:rsidRPr="000C2E93">
        <w:rPr>
          <w:rFonts w:ascii="宋体" w:eastAsia="宋体" w:hAnsi="宋体" w:cs="宋体" w:hint="eastAsia"/>
          <w:sz w:val="18"/>
          <w:szCs w:val="18"/>
        </w:rPr>
        <w:t>净利润</w:t>
      </w:r>
      <w:r w:rsidRPr="000C2E93">
        <w:rPr>
          <w:rFonts w:ascii="宋体" w:eastAsia="宋体" w:hAnsi="宋体" w:cs="宋体"/>
          <w:sz w:val="18"/>
          <w:szCs w:val="18"/>
        </w:rPr>
        <w:t>”</w:t>
      </w:r>
      <w:r w:rsidRPr="000C2E93">
        <w:rPr>
          <w:rFonts w:ascii="宋体" w:eastAsia="宋体" w:hAnsi="宋体" w:cs="宋体" w:hint="eastAsia"/>
          <w:sz w:val="18"/>
          <w:szCs w:val="18"/>
        </w:rPr>
        <w:t>以经审计的金额为准，</w:t>
      </w:r>
      <w:r w:rsidRPr="000C2E93">
        <w:rPr>
          <w:rFonts w:ascii="宋体" w:eastAsia="宋体" w:hAnsi="宋体" w:cs="宋体"/>
          <w:sz w:val="18"/>
          <w:szCs w:val="18"/>
        </w:rPr>
        <w:t>“</w:t>
      </w:r>
      <w:r w:rsidRPr="000C2E93">
        <w:rPr>
          <w:rFonts w:ascii="宋体" w:eastAsia="宋体" w:hAnsi="宋体" w:cs="宋体" w:hint="eastAsia"/>
          <w:sz w:val="18"/>
          <w:szCs w:val="18"/>
        </w:rPr>
        <w:t>营业收入</w:t>
      </w:r>
      <w:r w:rsidRPr="000C2E93">
        <w:rPr>
          <w:rFonts w:ascii="宋体" w:eastAsia="宋体" w:hAnsi="宋体" w:cs="宋体"/>
          <w:sz w:val="18"/>
          <w:szCs w:val="18"/>
        </w:rPr>
        <w:t>”</w:t>
      </w:r>
      <w:r w:rsidRPr="000C2E93">
        <w:rPr>
          <w:rFonts w:ascii="宋体" w:eastAsia="宋体" w:hAnsi="宋体" w:cs="宋体" w:hint="eastAsia"/>
          <w:sz w:val="18"/>
          <w:szCs w:val="18"/>
        </w:rPr>
        <w:t>指公司合并财务报表营业总收入，</w:t>
      </w:r>
      <w:r w:rsidRPr="000C2E93">
        <w:rPr>
          <w:rFonts w:ascii="宋体" w:eastAsia="宋体" w:hAnsi="宋体" w:cs="宋体"/>
          <w:sz w:val="18"/>
          <w:szCs w:val="18"/>
        </w:rPr>
        <w:t>“</w:t>
      </w:r>
      <w:r w:rsidRPr="000C2E93">
        <w:rPr>
          <w:rFonts w:ascii="宋体" w:eastAsia="宋体" w:hAnsi="宋体" w:cs="宋体" w:hint="eastAsia"/>
          <w:sz w:val="18"/>
          <w:szCs w:val="18"/>
        </w:rPr>
        <w:t>净利润</w:t>
      </w:r>
      <w:r w:rsidRPr="000C2E93">
        <w:rPr>
          <w:rFonts w:ascii="宋体" w:eastAsia="宋体" w:hAnsi="宋体" w:cs="宋体"/>
          <w:sz w:val="18"/>
          <w:szCs w:val="18"/>
        </w:rPr>
        <w:t>”</w:t>
      </w:r>
      <w:r w:rsidRPr="000C2E93">
        <w:rPr>
          <w:rFonts w:ascii="宋体" w:eastAsia="宋体" w:hAnsi="宋体" w:cs="宋体" w:hint="eastAsia"/>
          <w:sz w:val="18"/>
          <w:szCs w:val="18"/>
        </w:rPr>
        <w:t>指公司合并财务报表归属于上市股东的净利润，且</w:t>
      </w:r>
      <w:proofErr w:type="gramStart"/>
      <w:r w:rsidRPr="000C2E93">
        <w:rPr>
          <w:rFonts w:ascii="宋体" w:eastAsia="宋体" w:hAnsi="宋体" w:cs="宋体" w:hint="eastAsia"/>
          <w:sz w:val="18"/>
          <w:szCs w:val="18"/>
        </w:rPr>
        <w:t>剔除因</w:t>
      </w:r>
      <w:proofErr w:type="gramEnd"/>
      <w:r w:rsidRPr="000C2E93">
        <w:rPr>
          <w:rFonts w:ascii="宋体" w:eastAsia="宋体" w:hAnsi="宋体" w:cs="宋体" w:hint="eastAsia"/>
          <w:sz w:val="18"/>
          <w:szCs w:val="18"/>
        </w:rPr>
        <w:t>本公司实施股权激励和员工持股计划所确认的股份支付费用对公司损益的影响数。</w:t>
      </w:r>
    </w:p>
    <w:p w:rsidR="008D4B2E" w:rsidRDefault="008D4B2E">
      <w:pPr>
        <w:pStyle w:val="a3"/>
        <w:spacing w:before="0" w:beforeAutospacing="0" w:after="0" w:afterAutospacing="0" w:line="400" w:lineRule="atLeast"/>
        <w:ind w:left="482"/>
        <w:jc w:val="both"/>
        <w:divId w:val="525408917"/>
        <w:rPr>
          <w:rFonts w:ascii="Arial" w:hAnsi="Arial" w:cs="Arial"/>
          <w:sz w:val="20"/>
          <w:szCs w:val="20"/>
        </w:rPr>
      </w:pPr>
      <w:r>
        <w:rPr>
          <w:rStyle w:val="a4"/>
          <w:rFonts w:cs="Arial" w:hint="eastAsia"/>
          <w:sz w:val="20"/>
          <w:szCs w:val="20"/>
        </w:rPr>
        <w:t>（</w:t>
      </w:r>
      <w:r>
        <w:rPr>
          <w:rStyle w:val="a4"/>
          <w:rFonts w:ascii="Arial" w:hAnsi="Arial" w:cs="Arial"/>
          <w:sz w:val="20"/>
          <w:szCs w:val="20"/>
        </w:rPr>
        <w:t>2</w:t>
      </w:r>
      <w:r>
        <w:rPr>
          <w:rStyle w:val="a4"/>
          <w:rFonts w:cs="Arial" w:hint="eastAsia"/>
          <w:sz w:val="20"/>
          <w:szCs w:val="20"/>
        </w:rPr>
        <w:t>）</w:t>
      </w:r>
      <w:r>
        <w:rPr>
          <w:rStyle w:val="a4"/>
          <w:rFonts w:ascii="Arial" w:hAnsi="Arial" w:cs="Arial"/>
          <w:sz w:val="20"/>
          <w:szCs w:val="20"/>
        </w:rPr>
        <w:t>2021</w:t>
      </w:r>
      <w:r>
        <w:rPr>
          <w:rStyle w:val="a4"/>
          <w:rFonts w:cs="Arial" w:hint="eastAsia"/>
          <w:sz w:val="20"/>
          <w:szCs w:val="20"/>
        </w:rPr>
        <w:t>年期</w:t>
      </w:r>
    </w:p>
    <w:tbl>
      <w:tblPr>
        <w:tblW w:w="9629" w:type="dxa"/>
        <w:tblCellMar>
          <w:left w:w="0" w:type="dxa"/>
          <w:right w:w="0" w:type="dxa"/>
        </w:tblCellMar>
        <w:tblLook w:val="04A0" w:firstRow="1" w:lastRow="0" w:firstColumn="1" w:lastColumn="0" w:noHBand="0" w:noVBand="1"/>
      </w:tblPr>
      <w:tblGrid>
        <w:gridCol w:w="4077"/>
        <w:gridCol w:w="5552"/>
      </w:tblGrid>
      <w:tr w:rsidR="008D4B2E" w:rsidTr="00B87081">
        <w:trPr>
          <w:divId w:val="525408917"/>
          <w:trHeight w:val="380"/>
          <w:tblHeader/>
        </w:trPr>
        <w:tc>
          <w:tcPr>
            <w:tcW w:w="4077"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10486D">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项目</w:t>
            </w:r>
          </w:p>
        </w:tc>
        <w:tc>
          <w:tcPr>
            <w:tcW w:w="5552"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10486D">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相关内容</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公司本期授予的各项权益工具总额</w:t>
            </w:r>
          </w:p>
        </w:tc>
        <w:tc>
          <w:tcPr>
            <w:tcW w:w="5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公司本期行权的各项权益工具总额</w:t>
            </w:r>
            <w:r w:rsidR="0010486D">
              <w:rPr>
                <w:rFonts w:ascii="宋体" w:eastAsia="宋体" w:hAnsi="宋体" w:cs="宋体" w:hint="eastAsia"/>
                <w:sz w:val="18"/>
                <w:szCs w:val="18"/>
              </w:rPr>
              <w:t>（元）</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10486D">
            <w:pPr>
              <w:spacing w:line="240" w:lineRule="exact"/>
              <w:jc w:val="right"/>
              <w:rPr>
                <w:rFonts w:ascii="宋体" w:eastAsia="宋体" w:hAnsi="宋体" w:cs="宋体"/>
                <w:sz w:val="18"/>
                <w:szCs w:val="18"/>
              </w:rPr>
            </w:pPr>
            <w:r w:rsidRPr="000C2E93">
              <w:rPr>
                <w:rFonts w:ascii="宋体" w:eastAsia="宋体" w:hAnsi="宋体" w:cs="宋体"/>
                <w:sz w:val="18"/>
                <w:szCs w:val="18"/>
              </w:rPr>
              <w:t>33,104,400.00</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公司本期失效的各项权益工具总额</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51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公司期末发行在外的股份期权行权价格的范围和合同剩余期限</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495"/>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公司期末其他权益工具行权价格的范围和合同剩余期限</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授予价格为</w:t>
            </w:r>
            <w:r w:rsidRPr="000C2E93">
              <w:rPr>
                <w:rFonts w:ascii="宋体" w:eastAsia="宋体" w:hAnsi="宋体" w:cs="宋体"/>
                <w:sz w:val="18"/>
                <w:szCs w:val="18"/>
              </w:rPr>
              <w:t>2.55</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股；员工持股计划的有效期自限制性股票授予登记完成之日起至激励</w:t>
            </w:r>
            <w:proofErr w:type="gramStart"/>
            <w:r w:rsidRPr="000C2E93">
              <w:rPr>
                <w:rFonts w:ascii="宋体" w:eastAsia="宋体" w:hAnsi="宋体" w:cs="宋体" w:hint="eastAsia"/>
                <w:sz w:val="18"/>
                <w:szCs w:val="18"/>
              </w:rPr>
              <w:t>对象获</w:t>
            </w:r>
            <w:proofErr w:type="gramEnd"/>
            <w:r w:rsidRPr="000C2E93">
              <w:rPr>
                <w:rFonts w:ascii="宋体" w:eastAsia="宋体" w:hAnsi="宋体" w:cs="宋体" w:hint="eastAsia"/>
                <w:sz w:val="18"/>
                <w:szCs w:val="18"/>
              </w:rPr>
              <w:t>授的限制性股票全部解除限售或回购注销之日止，最长锁定期为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w:t>
            </w:r>
          </w:p>
        </w:tc>
      </w:tr>
    </w:tbl>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lastRenderedPageBreak/>
        <w:t>①公司于</w:t>
      </w:r>
      <w:r w:rsidRPr="000C2E93">
        <w:rPr>
          <w:rFonts w:ascii="宋体" w:eastAsia="宋体" w:hAnsi="宋体" w:cs="宋体"/>
          <w:sz w:val="18"/>
          <w:szCs w:val="18"/>
        </w:rPr>
        <w:t>2021</w:t>
      </w:r>
      <w:r w:rsidRPr="000C2E93">
        <w:rPr>
          <w:rFonts w:ascii="宋体" w:eastAsia="宋体" w:hAnsi="宋体" w:cs="宋体" w:hint="eastAsia"/>
          <w:sz w:val="18"/>
          <w:szCs w:val="18"/>
        </w:rPr>
        <w:t>年</w:t>
      </w:r>
      <w:r w:rsidRPr="000C2E93">
        <w:rPr>
          <w:rFonts w:ascii="宋体" w:eastAsia="宋体" w:hAnsi="宋体" w:cs="宋体"/>
          <w:sz w:val="18"/>
          <w:szCs w:val="18"/>
        </w:rPr>
        <w:t>10</w:t>
      </w:r>
      <w:r w:rsidRPr="000C2E93">
        <w:rPr>
          <w:rFonts w:ascii="宋体" w:eastAsia="宋体" w:hAnsi="宋体" w:cs="宋体" w:hint="eastAsia"/>
          <w:sz w:val="18"/>
          <w:szCs w:val="18"/>
        </w:rPr>
        <w:t>月</w:t>
      </w:r>
      <w:r w:rsidRPr="000C2E93">
        <w:rPr>
          <w:rFonts w:ascii="宋体" w:eastAsia="宋体" w:hAnsi="宋体" w:cs="宋体"/>
          <w:sz w:val="18"/>
          <w:szCs w:val="18"/>
        </w:rPr>
        <w:t>14</w:t>
      </w:r>
      <w:r w:rsidRPr="000C2E93">
        <w:rPr>
          <w:rFonts w:ascii="宋体" w:eastAsia="宋体" w:hAnsi="宋体" w:cs="宋体" w:hint="eastAsia"/>
          <w:sz w:val="18"/>
          <w:szCs w:val="18"/>
        </w:rPr>
        <w:t>日召开</w:t>
      </w:r>
      <w:r w:rsidRPr="000C2E93">
        <w:rPr>
          <w:rFonts w:ascii="宋体" w:eastAsia="宋体" w:hAnsi="宋体" w:cs="宋体"/>
          <w:sz w:val="18"/>
          <w:szCs w:val="18"/>
        </w:rPr>
        <w:t>2021</w:t>
      </w:r>
      <w:r w:rsidRPr="000C2E93">
        <w:rPr>
          <w:rFonts w:ascii="宋体" w:eastAsia="宋体" w:hAnsi="宋体" w:cs="宋体" w:hint="eastAsia"/>
          <w:sz w:val="18"/>
          <w:szCs w:val="18"/>
        </w:rPr>
        <w:t>年第二次临时股东大会审议通过了《关于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2021</w:t>
      </w:r>
      <w:r w:rsidRPr="000C2E93">
        <w:rPr>
          <w:rFonts w:ascii="宋体" w:eastAsia="宋体" w:hAnsi="宋体" w:cs="宋体" w:hint="eastAsia"/>
          <w:sz w:val="18"/>
          <w:szCs w:val="18"/>
        </w:rPr>
        <w:t>年限制性股票激励计划（草案）</w:t>
      </w:r>
      <w:r w:rsidRPr="000C2E93">
        <w:rPr>
          <w:rFonts w:ascii="宋体" w:eastAsia="宋体" w:hAnsi="宋体" w:cs="宋体"/>
          <w:sz w:val="18"/>
          <w:szCs w:val="18"/>
        </w:rPr>
        <w:t>〉</w:t>
      </w:r>
      <w:r w:rsidRPr="000C2E93">
        <w:rPr>
          <w:rFonts w:ascii="宋体" w:eastAsia="宋体" w:hAnsi="宋体" w:cs="宋体" w:hint="eastAsia"/>
          <w:sz w:val="18"/>
          <w:szCs w:val="18"/>
        </w:rPr>
        <w:t>及其摘要的议案》、《关于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2021</w:t>
      </w:r>
      <w:r w:rsidRPr="000C2E93">
        <w:rPr>
          <w:rFonts w:ascii="宋体" w:eastAsia="宋体" w:hAnsi="宋体" w:cs="宋体" w:hint="eastAsia"/>
          <w:sz w:val="18"/>
          <w:szCs w:val="18"/>
        </w:rPr>
        <w:t>年限制性股票激励计划实施考核管理办法</w:t>
      </w:r>
      <w:r w:rsidRPr="000C2E93">
        <w:rPr>
          <w:rFonts w:ascii="宋体" w:eastAsia="宋体" w:hAnsi="宋体" w:cs="宋体"/>
          <w:sz w:val="18"/>
          <w:szCs w:val="18"/>
        </w:rPr>
        <w:t>〉</w:t>
      </w:r>
      <w:r w:rsidRPr="000C2E93">
        <w:rPr>
          <w:rFonts w:ascii="宋体" w:eastAsia="宋体" w:hAnsi="宋体" w:cs="宋体" w:hint="eastAsia"/>
          <w:sz w:val="18"/>
          <w:szCs w:val="18"/>
        </w:rPr>
        <w:t>的议案》、《关于提请股东大会授权董事会办理股权激励相关事宜的议案》等与本次激励计划相关的议案。</w:t>
      </w:r>
      <w:r w:rsidRPr="000C2E93">
        <w:rPr>
          <w:rFonts w:ascii="宋体" w:eastAsia="宋体" w:hAnsi="宋体" w:cs="宋体"/>
          <w:sz w:val="18"/>
          <w:szCs w:val="18"/>
        </w:rPr>
        <w:t>2021</w:t>
      </w:r>
      <w:r w:rsidRPr="000C2E93">
        <w:rPr>
          <w:rFonts w:ascii="宋体" w:eastAsia="宋体" w:hAnsi="宋体" w:cs="宋体" w:hint="eastAsia"/>
          <w:sz w:val="18"/>
          <w:szCs w:val="18"/>
        </w:rPr>
        <w:t>年</w:t>
      </w:r>
      <w:r w:rsidRPr="000C2E93">
        <w:rPr>
          <w:rFonts w:ascii="宋体" w:eastAsia="宋体" w:hAnsi="宋体" w:cs="宋体"/>
          <w:sz w:val="18"/>
          <w:szCs w:val="18"/>
        </w:rPr>
        <w:t>10</w:t>
      </w:r>
      <w:r w:rsidRPr="000C2E93">
        <w:rPr>
          <w:rFonts w:ascii="宋体" w:eastAsia="宋体" w:hAnsi="宋体" w:cs="宋体" w:hint="eastAsia"/>
          <w:sz w:val="18"/>
          <w:szCs w:val="18"/>
        </w:rPr>
        <w:t>月</w:t>
      </w:r>
      <w:r w:rsidRPr="000C2E93">
        <w:rPr>
          <w:rFonts w:ascii="宋体" w:eastAsia="宋体" w:hAnsi="宋体" w:cs="宋体"/>
          <w:sz w:val="18"/>
          <w:szCs w:val="18"/>
        </w:rPr>
        <w:t>22</w:t>
      </w:r>
      <w:r w:rsidRPr="000C2E93">
        <w:rPr>
          <w:rFonts w:ascii="宋体" w:eastAsia="宋体" w:hAnsi="宋体" w:cs="宋体" w:hint="eastAsia"/>
          <w:sz w:val="18"/>
          <w:szCs w:val="18"/>
        </w:rPr>
        <w:t>日召开第七届董事会第十八次会议、第七届监事会第十六次会议，审议通过了《关于向激励对象授予限制性股票的议案》，确定对官</w:t>
      </w:r>
      <w:proofErr w:type="gramStart"/>
      <w:r w:rsidRPr="000C2E93">
        <w:rPr>
          <w:rFonts w:ascii="宋体" w:eastAsia="宋体" w:hAnsi="宋体" w:cs="宋体" w:hint="eastAsia"/>
          <w:sz w:val="18"/>
          <w:szCs w:val="18"/>
        </w:rPr>
        <w:t>炳</w:t>
      </w:r>
      <w:proofErr w:type="gramEnd"/>
      <w:r w:rsidRPr="000C2E93">
        <w:rPr>
          <w:rFonts w:ascii="宋体" w:eastAsia="宋体" w:hAnsi="宋体" w:cs="宋体" w:hint="eastAsia"/>
          <w:sz w:val="18"/>
          <w:szCs w:val="18"/>
        </w:rPr>
        <w:t>政、杨慧丽、张垚等</w:t>
      </w:r>
      <w:r w:rsidRPr="000C2E93">
        <w:rPr>
          <w:rFonts w:ascii="宋体" w:eastAsia="宋体" w:hAnsi="宋体" w:cs="宋体"/>
          <w:sz w:val="18"/>
          <w:szCs w:val="18"/>
        </w:rPr>
        <w:t>20</w:t>
      </w:r>
      <w:r w:rsidRPr="000C2E93">
        <w:rPr>
          <w:rFonts w:ascii="宋体" w:eastAsia="宋体" w:hAnsi="宋体" w:cs="宋体" w:hint="eastAsia"/>
          <w:sz w:val="18"/>
          <w:szCs w:val="18"/>
        </w:rPr>
        <w:t>名参加对象授予</w:t>
      </w:r>
      <w:r w:rsidRPr="000C2E93">
        <w:rPr>
          <w:rFonts w:ascii="宋体" w:eastAsia="宋体" w:hAnsi="宋体" w:cs="宋体"/>
          <w:sz w:val="18"/>
          <w:szCs w:val="18"/>
        </w:rPr>
        <w:t>1,960</w:t>
      </w:r>
      <w:r w:rsidRPr="000C2E93">
        <w:rPr>
          <w:rFonts w:ascii="宋体" w:eastAsia="宋体" w:hAnsi="宋体" w:cs="宋体" w:hint="eastAsia"/>
          <w:sz w:val="18"/>
          <w:szCs w:val="18"/>
        </w:rPr>
        <w:t>万股限制性股票，本次实际</w:t>
      </w:r>
      <w:r w:rsidRPr="000C2E93">
        <w:rPr>
          <w:rFonts w:ascii="宋体" w:eastAsia="宋体" w:hAnsi="宋体" w:cs="宋体"/>
          <w:sz w:val="18"/>
          <w:szCs w:val="18"/>
        </w:rPr>
        <w:t>20</w:t>
      </w:r>
      <w:r w:rsidRPr="000C2E93">
        <w:rPr>
          <w:rFonts w:ascii="宋体" w:eastAsia="宋体" w:hAnsi="宋体" w:cs="宋体" w:hint="eastAsia"/>
          <w:sz w:val="18"/>
          <w:szCs w:val="18"/>
        </w:rPr>
        <w:t>名参加对象认购</w:t>
      </w:r>
      <w:r w:rsidRPr="000C2E93">
        <w:rPr>
          <w:rFonts w:ascii="宋体" w:eastAsia="宋体" w:hAnsi="宋体" w:cs="宋体"/>
          <w:sz w:val="18"/>
          <w:szCs w:val="18"/>
        </w:rPr>
        <w:t>19,600,000</w:t>
      </w:r>
      <w:r w:rsidRPr="000C2E93">
        <w:rPr>
          <w:rFonts w:ascii="宋体" w:eastAsia="宋体" w:hAnsi="宋体" w:cs="宋体" w:hint="eastAsia"/>
          <w:sz w:val="18"/>
          <w:szCs w:val="18"/>
        </w:rPr>
        <w:t>股限制性股票，股票面值</w:t>
      </w:r>
      <w:r w:rsidRPr="000C2E93">
        <w:rPr>
          <w:rFonts w:ascii="宋体" w:eastAsia="宋体" w:hAnsi="宋体" w:cs="宋体"/>
          <w:sz w:val="18"/>
          <w:szCs w:val="18"/>
        </w:rPr>
        <w:t>1</w:t>
      </w:r>
      <w:r w:rsidRPr="000C2E93">
        <w:rPr>
          <w:rFonts w:ascii="宋体" w:eastAsia="宋体" w:hAnsi="宋体" w:cs="宋体" w:hint="eastAsia"/>
          <w:sz w:val="18"/>
          <w:szCs w:val="18"/>
        </w:rPr>
        <w:t>元，认购价格为</w:t>
      </w:r>
      <w:r w:rsidRPr="000C2E93">
        <w:rPr>
          <w:rFonts w:ascii="宋体" w:eastAsia="宋体" w:hAnsi="宋体" w:cs="宋体"/>
          <w:sz w:val="18"/>
          <w:szCs w:val="18"/>
        </w:rPr>
        <w:t>2.55</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股。本期以权益结算的股份支付确认的费用总额</w:t>
      </w:r>
      <w:r w:rsidRPr="000C2E93">
        <w:rPr>
          <w:rFonts w:ascii="宋体" w:eastAsia="宋体" w:hAnsi="宋体" w:cs="宋体"/>
          <w:sz w:val="18"/>
          <w:szCs w:val="18"/>
        </w:rPr>
        <w:t>60,691,400.00</w:t>
      </w:r>
      <w:r w:rsidRPr="000C2E93">
        <w:rPr>
          <w:rFonts w:ascii="宋体" w:eastAsia="宋体" w:hAnsi="宋体" w:cs="宋体" w:hint="eastAsia"/>
          <w:sz w:val="18"/>
          <w:szCs w:val="18"/>
        </w:rPr>
        <w:t>元</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②</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持股计划通过向激励对象定向发行的公司人民币</w:t>
      </w:r>
      <w:r w:rsidRPr="000C2E93">
        <w:rPr>
          <w:rFonts w:ascii="宋体" w:eastAsia="宋体" w:hAnsi="宋体" w:cs="宋体"/>
          <w:sz w:val="18"/>
          <w:szCs w:val="18"/>
        </w:rPr>
        <w:t>A</w:t>
      </w:r>
      <w:r w:rsidRPr="000C2E93">
        <w:rPr>
          <w:rFonts w:ascii="宋体" w:eastAsia="宋体" w:hAnsi="宋体" w:cs="宋体" w:hint="eastAsia"/>
          <w:sz w:val="18"/>
          <w:szCs w:val="18"/>
        </w:rPr>
        <w:t>股普通股股票，分三期解锁，解锁时点分别为自公司公告最后一笔标的股票过户至</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持股计划名下之日起满</w:t>
      </w:r>
      <w:r w:rsidRPr="000C2E93">
        <w:rPr>
          <w:rFonts w:ascii="宋体" w:eastAsia="宋体" w:hAnsi="宋体" w:cs="宋体"/>
          <w:sz w:val="18"/>
          <w:szCs w:val="18"/>
        </w:rPr>
        <w:t>12</w:t>
      </w:r>
      <w:r w:rsidRPr="000C2E93">
        <w:rPr>
          <w:rFonts w:ascii="宋体" w:eastAsia="宋体" w:hAnsi="宋体" w:cs="宋体" w:hint="eastAsia"/>
          <w:sz w:val="18"/>
          <w:szCs w:val="18"/>
        </w:rPr>
        <w:t>个月、</w:t>
      </w:r>
      <w:r w:rsidRPr="000C2E93">
        <w:rPr>
          <w:rFonts w:ascii="宋体" w:eastAsia="宋体" w:hAnsi="宋体" w:cs="宋体"/>
          <w:sz w:val="18"/>
          <w:szCs w:val="18"/>
        </w:rPr>
        <w:t>24</w:t>
      </w:r>
      <w:r w:rsidRPr="000C2E93">
        <w:rPr>
          <w:rFonts w:ascii="宋体" w:eastAsia="宋体" w:hAnsi="宋体" w:cs="宋体" w:hint="eastAsia"/>
          <w:sz w:val="18"/>
          <w:szCs w:val="18"/>
        </w:rPr>
        <w:t>个月、</w:t>
      </w:r>
      <w:r w:rsidRPr="000C2E93">
        <w:rPr>
          <w:rFonts w:ascii="宋体" w:eastAsia="宋体" w:hAnsi="宋体" w:cs="宋体"/>
          <w:sz w:val="18"/>
          <w:szCs w:val="18"/>
        </w:rPr>
        <w:t>36</w:t>
      </w:r>
      <w:r w:rsidRPr="000C2E93">
        <w:rPr>
          <w:rFonts w:ascii="宋体" w:eastAsia="宋体" w:hAnsi="宋体" w:cs="宋体" w:hint="eastAsia"/>
          <w:sz w:val="18"/>
          <w:szCs w:val="18"/>
        </w:rPr>
        <w:t>个月，最长锁定期为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个月，每期解锁的标的股票比例分别为</w:t>
      </w:r>
      <w:r w:rsidRPr="000C2E93">
        <w:rPr>
          <w:rFonts w:ascii="宋体" w:eastAsia="宋体" w:hAnsi="宋体" w:cs="宋体"/>
          <w:sz w:val="18"/>
          <w:szCs w:val="18"/>
        </w:rPr>
        <w:t>40%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，各年度具体解锁比例和数量根据公司业绩指标和持有人考核结果计算确定。</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③</w:t>
      </w:r>
      <w:r w:rsidRPr="000C2E93">
        <w:rPr>
          <w:rFonts w:ascii="宋体" w:eastAsia="宋体" w:hAnsi="宋体" w:cs="宋体"/>
          <w:sz w:val="18"/>
          <w:szCs w:val="18"/>
        </w:rPr>
        <w:t>2021</w:t>
      </w:r>
      <w:r w:rsidRPr="000C2E93">
        <w:rPr>
          <w:rFonts w:ascii="宋体" w:eastAsia="宋体" w:hAnsi="宋体" w:cs="宋体" w:hint="eastAsia"/>
          <w:sz w:val="18"/>
          <w:szCs w:val="18"/>
        </w:rPr>
        <w:t>年</w:t>
      </w:r>
      <w:r w:rsidRPr="000C2E93">
        <w:rPr>
          <w:rFonts w:ascii="宋体" w:eastAsia="宋体" w:hAnsi="宋体" w:cs="宋体"/>
          <w:sz w:val="18"/>
          <w:szCs w:val="18"/>
        </w:rPr>
        <w:t>11</w:t>
      </w:r>
      <w:r w:rsidRPr="000C2E93">
        <w:rPr>
          <w:rFonts w:ascii="宋体" w:eastAsia="宋体" w:hAnsi="宋体" w:cs="宋体" w:hint="eastAsia"/>
          <w:sz w:val="18"/>
          <w:szCs w:val="18"/>
        </w:rPr>
        <w:t>月</w:t>
      </w:r>
      <w:r w:rsidRPr="000C2E93">
        <w:rPr>
          <w:rFonts w:ascii="宋体" w:eastAsia="宋体" w:hAnsi="宋体" w:cs="宋体"/>
          <w:sz w:val="18"/>
          <w:szCs w:val="18"/>
        </w:rPr>
        <w:t>17</w:t>
      </w:r>
      <w:r w:rsidRPr="000C2E93">
        <w:rPr>
          <w:rFonts w:ascii="宋体" w:eastAsia="宋体" w:hAnsi="宋体" w:cs="宋体" w:hint="eastAsia"/>
          <w:sz w:val="18"/>
          <w:szCs w:val="18"/>
        </w:rPr>
        <w:t>日，公司完成了</w:t>
      </w:r>
      <w:r w:rsidRPr="000C2E93">
        <w:rPr>
          <w:rFonts w:ascii="宋体" w:eastAsia="宋体" w:hAnsi="宋体" w:cs="宋体"/>
          <w:sz w:val="18"/>
          <w:szCs w:val="18"/>
        </w:rPr>
        <w:t>2021</w:t>
      </w:r>
      <w:r w:rsidRPr="000C2E93">
        <w:rPr>
          <w:rFonts w:ascii="宋体" w:eastAsia="宋体" w:hAnsi="宋体" w:cs="宋体" w:hint="eastAsia"/>
          <w:sz w:val="18"/>
          <w:szCs w:val="18"/>
        </w:rPr>
        <w:t>年限制性股票激励计划限制性股票的授予登记工作，向</w:t>
      </w:r>
      <w:r w:rsidRPr="000C2E93">
        <w:rPr>
          <w:rFonts w:ascii="宋体" w:eastAsia="宋体" w:hAnsi="宋体" w:cs="宋体"/>
          <w:sz w:val="18"/>
          <w:szCs w:val="18"/>
        </w:rPr>
        <w:t>20</w:t>
      </w:r>
      <w:r w:rsidRPr="000C2E93">
        <w:rPr>
          <w:rFonts w:ascii="宋体" w:eastAsia="宋体" w:hAnsi="宋体" w:cs="宋体" w:hint="eastAsia"/>
          <w:sz w:val="18"/>
          <w:szCs w:val="18"/>
        </w:rPr>
        <w:t>名激励对象授予</w:t>
      </w:r>
      <w:r w:rsidRPr="000C2E93">
        <w:rPr>
          <w:rFonts w:ascii="宋体" w:eastAsia="宋体" w:hAnsi="宋体" w:cs="宋体"/>
          <w:sz w:val="18"/>
          <w:szCs w:val="18"/>
        </w:rPr>
        <w:t>1,960.00</w:t>
      </w:r>
      <w:r w:rsidRPr="000C2E93">
        <w:rPr>
          <w:rFonts w:ascii="宋体" w:eastAsia="宋体" w:hAnsi="宋体" w:cs="宋体" w:hint="eastAsia"/>
          <w:sz w:val="18"/>
          <w:szCs w:val="18"/>
        </w:rPr>
        <w:t>万份限制性股票，授予价格为</w:t>
      </w:r>
      <w:r w:rsidRPr="000C2E93">
        <w:rPr>
          <w:rFonts w:ascii="宋体" w:eastAsia="宋体" w:hAnsi="宋体" w:cs="宋体"/>
          <w:sz w:val="18"/>
          <w:szCs w:val="18"/>
        </w:rPr>
        <w:t>2.55</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股，授予的限制性股票于</w:t>
      </w:r>
      <w:r w:rsidRPr="000C2E93">
        <w:rPr>
          <w:rFonts w:ascii="宋体" w:eastAsia="宋体" w:hAnsi="宋体" w:cs="宋体"/>
          <w:sz w:val="18"/>
          <w:szCs w:val="18"/>
        </w:rPr>
        <w:t>2021</w:t>
      </w:r>
      <w:r w:rsidRPr="000C2E93">
        <w:rPr>
          <w:rFonts w:ascii="宋体" w:eastAsia="宋体" w:hAnsi="宋体" w:cs="宋体" w:hint="eastAsia"/>
          <w:sz w:val="18"/>
          <w:szCs w:val="18"/>
        </w:rPr>
        <w:t>年</w:t>
      </w:r>
      <w:r w:rsidRPr="000C2E93">
        <w:rPr>
          <w:rFonts w:ascii="宋体" w:eastAsia="宋体" w:hAnsi="宋体" w:cs="宋体"/>
          <w:sz w:val="18"/>
          <w:szCs w:val="18"/>
        </w:rPr>
        <w:t>11</w:t>
      </w:r>
      <w:r w:rsidRPr="000C2E93">
        <w:rPr>
          <w:rFonts w:ascii="宋体" w:eastAsia="宋体" w:hAnsi="宋体" w:cs="宋体" w:hint="eastAsia"/>
          <w:sz w:val="18"/>
          <w:szCs w:val="18"/>
        </w:rPr>
        <w:t>月</w:t>
      </w:r>
      <w:r w:rsidRPr="000C2E93">
        <w:rPr>
          <w:rFonts w:ascii="宋体" w:eastAsia="宋体" w:hAnsi="宋体" w:cs="宋体"/>
          <w:sz w:val="18"/>
          <w:szCs w:val="18"/>
        </w:rPr>
        <w:t>18</w:t>
      </w:r>
      <w:r w:rsidRPr="000C2E93">
        <w:rPr>
          <w:rFonts w:ascii="宋体" w:eastAsia="宋体" w:hAnsi="宋体" w:cs="宋体" w:hint="eastAsia"/>
          <w:sz w:val="18"/>
          <w:szCs w:val="18"/>
        </w:rPr>
        <w:t>日上市。公司全部有效的员工持股计划所持有的股票总数累计未超过公司股本总额的</w:t>
      </w:r>
      <w:r w:rsidRPr="000C2E93">
        <w:rPr>
          <w:rFonts w:ascii="宋体" w:eastAsia="宋体" w:hAnsi="宋体" w:cs="宋体"/>
          <w:sz w:val="18"/>
          <w:szCs w:val="18"/>
        </w:rPr>
        <w:t>10%</w:t>
      </w:r>
      <w:r w:rsidRPr="000C2E93">
        <w:rPr>
          <w:rFonts w:ascii="宋体" w:eastAsia="宋体" w:hAnsi="宋体" w:cs="宋体" w:hint="eastAsia"/>
          <w:sz w:val="18"/>
          <w:szCs w:val="18"/>
        </w:rPr>
        <w:t>，单个员工所获股份权益对应的股票总数累计未超过公司股本总额的</w:t>
      </w:r>
      <w:r w:rsidRPr="000C2E93">
        <w:rPr>
          <w:rFonts w:ascii="宋体" w:eastAsia="宋体" w:hAnsi="宋体" w:cs="宋体"/>
          <w:sz w:val="18"/>
          <w:szCs w:val="18"/>
        </w:rPr>
        <w:t>1%</w:t>
      </w:r>
      <w:r w:rsidRPr="000C2E93">
        <w:rPr>
          <w:rFonts w:ascii="宋体" w:eastAsia="宋体" w:hAnsi="宋体" w:cs="宋体" w:hint="eastAsia"/>
          <w:sz w:val="18"/>
          <w:szCs w:val="18"/>
        </w:rPr>
        <w:t>。</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④本激励计划在</w:t>
      </w:r>
      <w:r w:rsidRPr="000C2E93">
        <w:rPr>
          <w:rFonts w:ascii="宋体" w:eastAsia="宋体" w:hAnsi="宋体" w:cs="宋体"/>
          <w:sz w:val="18"/>
          <w:szCs w:val="18"/>
        </w:rPr>
        <w:t>2021</w:t>
      </w:r>
      <w:r w:rsidRPr="000C2E93">
        <w:rPr>
          <w:rFonts w:ascii="宋体" w:eastAsia="宋体" w:hAnsi="宋体" w:cs="宋体" w:hint="eastAsia"/>
          <w:sz w:val="18"/>
          <w:szCs w:val="18"/>
        </w:rPr>
        <w:t>年</w:t>
      </w:r>
      <w:r w:rsidRPr="000C2E93">
        <w:rPr>
          <w:rFonts w:ascii="宋体" w:eastAsia="宋体" w:hAnsi="宋体" w:cs="宋体"/>
          <w:sz w:val="18"/>
          <w:szCs w:val="18"/>
        </w:rPr>
        <w:t>-2023</w:t>
      </w:r>
      <w:r w:rsidRPr="000C2E93">
        <w:rPr>
          <w:rFonts w:ascii="宋体" w:eastAsia="宋体" w:hAnsi="宋体" w:cs="宋体" w:hint="eastAsia"/>
          <w:sz w:val="18"/>
          <w:szCs w:val="18"/>
        </w:rPr>
        <w:t>年会计年度中，分年度对公司的业绩指标进行考核，以达到业绩考核目标作为</w:t>
      </w:r>
      <w:r w:rsidR="000C2E93">
        <w:rPr>
          <w:rFonts w:ascii="宋体" w:eastAsia="宋体" w:hAnsi="宋体" w:cs="宋体" w:hint="eastAsia"/>
          <w:sz w:val="18"/>
          <w:szCs w:val="18"/>
        </w:rPr>
        <w:t>激励对象当年度的解除限售条件之一。本激励计划业绩考核目标如下：</w:t>
      </w:r>
    </w:p>
    <w:tbl>
      <w:tblPr>
        <w:tblW w:w="9629" w:type="dxa"/>
        <w:tblCellMar>
          <w:left w:w="0" w:type="dxa"/>
          <w:right w:w="0" w:type="dxa"/>
        </w:tblCellMar>
        <w:tblLook w:val="04A0" w:firstRow="1" w:lastRow="0" w:firstColumn="1" w:lastColumn="0" w:noHBand="0" w:noVBand="1"/>
      </w:tblPr>
      <w:tblGrid>
        <w:gridCol w:w="2039"/>
        <w:gridCol w:w="7590"/>
      </w:tblGrid>
      <w:tr w:rsidR="008D4B2E" w:rsidTr="00B87081">
        <w:trPr>
          <w:divId w:val="525408917"/>
          <w:trHeight w:val="370"/>
        </w:trPr>
        <w:tc>
          <w:tcPr>
            <w:tcW w:w="2039" w:type="dxa"/>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362F1D" w:rsidRDefault="008D4B2E" w:rsidP="0010486D">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t>解锁期</w:t>
            </w:r>
          </w:p>
        </w:tc>
        <w:tc>
          <w:tcPr>
            <w:tcW w:w="7590" w:type="dxa"/>
            <w:tcBorders>
              <w:top w:val="single" w:sz="8" w:space="0" w:color="auto"/>
              <w:left w:val="nil"/>
              <w:bottom w:val="single" w:sz="8" w:space="0" w:color="auto"/>
              <w:right w:val="single" w:sz="8" w:space="0" w:color="auto"/>
            </w:tcBorders>
            <w:shd w:val="clear" w:color="auto" w:fill="D3D3D3"/>
            <w:vAlign w:val="center"/>
            <w:hideMark/>
          </w:tcPr>
          <w:p w:rsidR="008D4B2E" w:rsidRPr="00362F1D" w:rsidRDefault="008D4B2E" w:rsidP="0010486D">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t>业绩考核目标</w:t>
            </w:r>
          </w:p>
        </w:tc>
      </w:tr>
      <w:tr w:rsidR="008D4B2E" w:rsidTr="00B87081">
        <w:trPr>
          <w:divId w:val="525408917"/>
          <w:trHeight w:val="364"/>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第一个解锁期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2020</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2021</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30%</w:t>
            </w:r>
          </w:p>
        </w:tc>
      </w:tr>
      <w:tr w:rsidR="008D4B2E" w:rsidTr="00B87081">
        <w:trPr>
          <w:divId w:val="525408917"/>
          <w:trHeight w:val="439"/>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第二个解锁期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2020</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2022</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50%</w:t>
            </w:r>
          </w:p>
        </w:tc>
      </w:tr>
      <w:tr w:rsidR="008D4B2E" w:rsidTr="00B87081">
        <w:trPr>
          <w:divId w:val="525408917"/>
          <w:trHeight w:val="416"/>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第三个解锁期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2020</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2023</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80%</w:t>
            </w:r>
          </w:p>
        </w:tc>
      </w:tr>
    </w:tbl>
    <w:p w:rsidR="008D4B2E" w:rsidRPr="000C2E93" w:rsidRDefault="008D4B2E" w:rsidP="00B87081">
      <w:pPr>
        <w:divId w:val="525408917"/>
        <w:rPr>
          <w:rFonts w:ascii="宋体" w:eastAsia="宋体" w:hAnsi="宋体" w:cs="宋体"/>
          <w:sz w:val="18"/>
          <w:szCs w:val="18"/>
        </w:rPr>
      </w:pPr>
      <w:r w:rsidRPr="000C2E93">
        <w:rPr>
          <w:rFonts w:ascii="宋体" w:eastAsia="宋体" w:hAnsi="宋体" w:cs="宋体" w:hint="eastAsia"/>
          <w:sz w:val="18"/>
          <w:szCs w:val="18"/>
        </w:rPr>
        <w:t>注：上述</w:t>
      </w:r>
      <w:r w:rsidRPr="000C2E93">
        <w:rPr>
          <w:rFonts w:ascii="宋体" w:eastAsia="宋体" w:hAnsi="宋体" w:cs="宋体"/>
          <w:sz w:val="18"/>
          <w:szCs w:val="18"/>
        </w:rPr>
        <w:t>“</w:t>
      </w:r>
      <w:r w:rsidRPr="000C2E93">
        <w:rPr>
          <w:rFonts w:ascii="宋体" w:eastAsia="宋体" w:hAnsi="宋体" w:cs="宋体" w:hint="eastAsia"/>
          <w:sz w:val="18"/>
          <w:szCs w:val="18"/>
        </w:rPr>
        <w:t>营业收入</w:t>
      </w:r>
      <w:r w:rsidRPr="000C2E93">
        <w:rPr>
          <w:rFonts w:ascii="宋体" w:eastAsia="宋体" w:hAnsi="宋体" w:cs="宋体"/>
          <w:sz w:val="18"/>
          <w:szCs w:val="18"/>
        </w:rPr>
        <w:t>”</w:t>
      </w:r>
      <w:r w:rsidRPr="000C2E93">
        <w:rPr>
          <w:rFonts w:ascii="宋体" w:eastAsia="宋体" w:hAnsi="宋体" w:cs="宋体" w:hint="eastAsia"/>
          <w:sz w:val="18"/>
          <w:szCs w:val="18"/>
        </w:rPr>
        <w:t>和</w:t>
      </w:r>
      <w:r w:rsidRPr="000C2E93">
        <w:rPr>
          <w:rFonts w:ascii="宋体" w:eastAsia="宋体" w:hAnsi="宋体" w:cs="宋体"/>
          <w:sz w:val="18"/>
          <w:szCs w:val="18"/>
        </w:rPr>
        <w:t>“</w:t>
      </w:r>
      <w:r w:rsidRPr="000C2E93">
        <w:rPr>
          <w:rFonts w:ascii="宋体" w:eastAsia="宋体" w:hAnsi="宋体" w:cs="宋体" w:hint="eastAsia"/>
          <w:sz w:val="18"/>
          <w:szCs w:val="18"/>
        </w:rPr>
        <w:t>净利润</w:t>
      </w:r>
      <w:r w:rsidRPr="000C2E93">
        <w:rPr>
          <w:rFonts w:ascii="宋体" w:eastAsia="宋体" w:hAnsi="宋体" w:cs="宋体"/>
          <w:sz w:val="18"/>
          <w:szCs w:val="18"/>
        </w:rPr>
        <w:t>”</w:t>
      </w:r>
      <w:r w:rsidRPr="000C2E93">
        <w:rPr>
          <w:rFonts w:ascii="宋体" w:eastAsia="宋体" w:hAnsi="宋体" w:cs="宋体" w:hint="eastAsia"/>
          <w:sz w:val="18"/>
          <w:szCs w:val="18"/>
        </w:rPr>
        <w:t>以经审计的金额为准，</w:t>
      </w:r>
      <w:r w:rsidRPr="000C2E93">
        <w:rPr>
          <w:rFonts w:ascii="宋体" w:eastAsia="宋体" w:hAnsi="宋体" w:cs="宋体"/>
          <w:sz w:val="18"/>
          <w:szCs w:val="18"/>
        </w:rPr>
        <w:t>“</w:t>
      </w:r>
      <w:r w:rsidRPr="000C2E93">
        <w:rPr>
          <w:rFonts w:ascii="宋体" w:eastAsia="宋体" w:hAnsi="宋体" w:cs="宋体" w:hint="eastAsia"/>
          <w:sz w:val="18"/>
          <w:szCs w:val="18"/>
        </w:rPr>
        <w:t>营业收入</w:t>
      </w:r>
      <w:r w:rsidRPr="000C2E93">
        <w:rPr>
          <w:rFonts w:ascii="宋体" w:eastAsia="宋体" w:hAnsi="宋体" w:cs="宋体"/>
          <w:sz w:val="18"/>
          <w:szCs w:val="18"/>
        </w:rPr>
        <w:t>”</w:t>
      </w:r>
      <w:r w:rsidRPr="000C2E93">
        <w:rPr>
          <w:rFonts w:ascii="宋体" w:eastAsia="宋体" w:hAnsi="宋体" w:cs="宋体" w:hint="eastAsia"/>
          <w:sz w:val="18"/>
          <w:szCs w:val="18"/>
        </w:rPr>
        <w:t>指公司合并财务报表营业总收入，</w:t>
      </w:r>
      <w:r w:rsidRPr="000C2E93">
        <w:rPr>
          <w:rFonts w:ascii="宋体" w:eastAsia="宋体" w:hAnsi="宋体" w:cs="宋体"/>
          <w:sz w:val="18"/>
          <w:szCs w:val="18"/>
        </w:rPr>
        <w:t>“</w:t>
      </w:r>
      <w:r w:rsidRPr="000C2E93">
        <w:rPr>
          <w:rFonts w:ascii="宋体" w:eastAsia="宋体" w:hAnsi="宋体" w:cs="宋体" w:hint="eastAsia"/>
          <w:sz w:val="18"/>
          <w:szCs w:val="18"/>
        </w:rPr>
        <w:t>净利润</w:t>
      </w:r>
      <w:r w:rsidRPr="000C2E93">
        <w:rPr>
          <w:rFonts w:ascii="宋体" w:eastAsia="宋体" w:hAnsi="宋体" w:cs="宋体"/>
          <w:sz w:val="18"/>
          <w:szCs w:val="18"/>
        </w:rPr>
        <w:t>”</w:t>
      </w:r>
      <w:r w:rsidRPr="000C2E93">
        <w:rPr>
          <w:rFonts w:ascii="宋体" w:eastAsia="宋体" w:hAnsi="宋体" w:cs="宋体" w:hint="eastAsia"/>
          <w:sz w:val="18"/>
          <w:szCs w:val="18"/>
        </w:rPr>
        <w:t>指公司合并财务报表归属于上市股东的净利润，且</w:t>
      </w:r>
      <w:proofErr w:type="gramStart"/>
      <w:r w:rsidRPr="000C2E93">
        <w:rPr>
          <w:rFonts w:ascii="宋体" w:eastAsia="宋体" w:hAnsi="宋体" w:cs="宋体" w:hint="eastAsia"/>
          <w:sz w:val="18"/>
          <w:szCs w:val="18"/>
        </w:rPr>
        <w:t>剔除因</w:t>
      </w:r>
      <w:proofErr w:type="gramEnd"/>
      <w:r w:rsidRPr="000C2E93">
        <w:rPr>
          <w:rFonts w:ascii="宋体" w:eastAsia="宋体" w:hAnsi="宋体" w:cs="宋体" w:hint="eastAsia"/>
          <w:sz w:val="18"/>
          <w:szCs w:val="18"/>
        </w:rPr>
        <w:t>本公司实施股权激励和员工持股计划所确认的股份支付费用对公司损益的影响数。</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⑤公司于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4</w:t>
      </w:r>
      <w:r w:rsidRPr="000C2E93">
        <w:rPr>
          <w:rFonts w:ascii="宋体" w:eastAsia="宋体" w:hAnsi="宋体" w:cs="宋体" w:hint="eastAsia"/>
          <w:sz w:val="18"/>
          <w:szCs w:val="18"/>
        </w:rPr>
        <w:t>月</w:t>
      </w:r>
      <w:r w:rsidRPr="000C2E93">
        <w:rPr>
          <w:rFonts w:ascii="宋体" w:eastAsia="宋体" w:hAnsi="宋体" w:cs="宋体"/>
          <w:sz w:val="18"/>
          <w:szCs w:val="18"/>
        </w:rPr>
        <w:t>10</w:t>
      </w:r>
      <w:r w:rsidRPr="000C2E93">
        <w:rPr>
          <w:rFonts w:ascii="宋体" w:eastAsia="宋体" w:hAnsi="宋体" w:cs="宋体" w:hint="eastAsia"/>
          <w:sz w:val="18"/>
          <w:szCs w:val="18"/>
        </w:rPr>
        <w:t>日召开第八届董事会第六次会议与第八届监事会第七次会议，并于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5</w:t>
      </w:r>
      <w:r w:rsidRPr="000C2E93">
        <w:rPr>
          <w:rFonts w:ascii="宋体" w:eastAsia="宋体" w:hAnsi="宋体" w:cs="宋体" w:hint="eastAsia"/>
          <w:sz w:val="18"/>
          <w:szCs w:val="18"/>
        </w:rPr>
        <w:t>月</w:t>
      </w:r>
      <w:r w:rsidRPr="000C2E93">
        <w:rPr>
          <w:rFonts w:ascii="宋体" w:eastAsia="宋体" w:hAnsi="宋体" w:cs="宋体"/>
          <w:sz w:val="18"/>
          <w:szCs w:val="18"/>
        </w:rPr>
        <w:t>8</w:t>
      </w:r>
      <w:r w:rsidRPr="000C2E93">
        <w:rPr>
          <w:rFonts w:ascii="宋体" w:eastAsia="宋体" w:hAnsi="宋体" w:cs="宋体" w:hint="eastAsia"/>
          <w:sz w:val="18"/>
          <w:szCs w:val="18"/>
        </w:rPr>
        <w:t>日召开</w:t>
      </w:r>
      <w:r w:rsidRPr="000C2E93">
        <w:rPr>
          <w:rFonts w:ascii="宋体" w:eastAsia="宋体" w:hAnsi="宋体" w:cs="宋体"/>
          <w:sz w:val="18"/>
          <w:szCs w:val="18"/>
        </w:rPr>
        <w:t>2022</w:t>
      </w:r>
      <w:r w:rsidRPr="000C2E93">
        <w:rPr>
          <w:rFonts w:ascii="宋体" w:eastAsia="宋体" w:hAnsi="宋体" w:cs="宋体" w:hint="eastAsia"/>
          <w:sz w:val="18"/>
          <w:szCs w:val="18"/>
        </w:rPr>
        <w:t>年度股东大会，审议通过了《关于注销部分股票期权和回购注销部分限制性股票的议案》。根据公司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年股票期权与限制性股票激励计划的相关规定，因</w:t>
      </w:r>
      <w:r w:rsidRPr="000C2E93">
        <w:rPr>
          <w:rFonts w:ascii="宋体" w:eastAsia="宋体" w:hAnsi="宋体" w:cs="宋体"/>
          <w:sz w:val="18"/>
          <w:szCs w:val="18"/>
        </w:rPr>
        <w:t>1</w:t>
      </w:r>
      <w:r w:rsidRPr="000C2E93">
        <w:rPr>
          <w:rFonts w:ascii="宋体" w:eastAsia="宋体" w:hAnsi="宋体" w:cs="宋体" w:hint="eastAsia"/>
          <w:sz w:val="18"/>
          <w:szCs w:val="18"/>
        </w:rPr>
        <w:t>名激励对象离职，公司同意对其</w:t>
      </w:r>
      <w:proofErr w:type="gramStart"/>
      <w:r w:rsidRPr="000C2E93">
        <w:rPr>
          <w:rFonts w:ascii="宋体" w:eastAsia="宋体" w:hAnsi="宋体" w:cs="宋体" w:hint="eastAsia"/>
          <w:sz w:val="18"/>
          <w:szCs w:val="18"/>
        </w:rPr>
        <w:t>已获授但尚未</w:t>
      </w:r>
      <w:proofErr w:type="gramEnd"/>
      <w:r w:rsidRPr="000C2E93">
        <w:rPr>
          <w:rFonts w:ascii="宋体" w:eastAsia="宋体" w:hAnsi="宋体" w:cs="宋体" w:hint="eastAsia"/>
          <w:sz w:val="18"/>
          <w:szCs w:val="18"/>
        </w:rPr>
        <w:t>解除限售的限制性股票合计</w:t>
      </w:r>
      <w:r w:rsidRPr="000C2E93">
        <w:rPr>
          <w:rFonts w:ascii="宋体" w:eastAsia="宋体" w:hAnsi="宋体" w:cs="宋体"/>
          <w:sz w:val="18"/>
          <w:szCs w:val="18"/>
        </w:rPr>
        <w:t>10,000</w:t>
      </w:r>
      <w:r w:rsidRPr="000C2E93">
        <w:rPr>
          <w:rFonts w:ascii="宋体" w:eastAsia="宋体" w:hAnsi="宋体" w:cs="宋体" w:hint="eastAsia"/>
          <w:sz w:val="18"/>
          <w:szCs w:val="18"/>
        </w:rPr>
        <w:t>股予以回购注销。</w:t>
      </w:r>
    </w:p>
    <w:p w:rsidR="008D4B2E" w:rsidRDefault="008D4B2E">
      <w:pPr>
        <w:pStyle w:val="a3"/>
        <w:spacing w:before="0" w:beforeAutospacing="0" w:after="0" w:afterAutospacing="0" w:line="400" w:lineRule="atLeast"/>
        <w:ind w:left="482"/>
        <w:jc w:val="both"/>
        <w:divId w:val="525408917"/>
        <w:rPr>
          <w:rFonts w:ascii="Arial" w:hAnsi="Arial" w:cs="Arial"/>
          <w:sz w:val="20"/>
          <w:szCs w:val="20"/>
        </w:rPr>
      </w:pPr>
      <w:r>
        <w:rPr>
          <w:rStyle w:val="a4"/>
          <w:rFonts w:cs="Arial" w:hint="eastAsia"/>
          <w:sz w:val="20"/>
          <w:szCs w:val="20"/>
        </w:rPr>
        <w:t>（</w:t>
      </w:r>
      <w:r>
        <w:rPr>
          <w:rStyle w:val="a4"/>
          <w:rFonts w:ascii="Arial" w:hAnsi="Arial" w:cs="Arial"/>
          <w:sz w:val="20"/>
          <w:szCs w:val="20"/>
        </w:rPr>
        <w:t>3</w:t>
      </w:r>
      <w:r>
        <w:rPr>
          <w:rStyle w:val="a4"/>
          <w:rFonts w:cs="Arial" w:hint="eastAsia"/>
          <w:sz w:val="20"/>
          <w:szCs w:val="20"/>
        </w:rPr>
        <w:t>）</w:t>
      </w:r>
      <w:r>
        <w:rPr>
          <w:rStyle w:val="a4"/>
          <w:rFonts w:ascii="Arial" w:hAnsi="Arial" w:cs="Arial"/>
          <w:sz w:val="20"/>
          <w:szCs w:val="20"/>
        </w:rPr>
        <w:t>2022</w:t>
      </w:r>
      <w:r>
        <w:rPr>
          <w:rStyle w:val="a4"/>
          <w:rFonts w:cs="Arial" w:hint="eastAsia"/>
          <w:sz w:val="20"/>
          <w:szCs w:val="20"/>
        </w:rPr>
        <w:t>年期</w:t>
      </w:r>
      <w:r>
        <w:rPr>
          <w:rStyle w:val="a4"/>
          <w:rFonts w:ascii="Arial" w:hAnsi="Arial" w:cs="Arial"/>
          <w:sz w:val="20"/>
          <w:szCs w:val="20"/>
        </w:rPr>
        <w:t>-</w:t>
      </w:r>
      <w:r>
        <w:rPr>
          <w:rStyle w:val="a4"/>
          <w:rFonts w:cs="Arial" w:hint="eastAsia"/>
          <w:sz w:val="20"/>
          <w:szCs w:val="20"/>
        </w:rPr>
        <w:t>股票期权</w:t>
      </w:r>
    </w:p>
    <w:tbl>
      <w:tblPr>
        <w:tblW w:w="9629" w:type="dxa"/>
        <w:tblCellMar>
          <w:left w:w="0" w:type="dxa"/>
          <w:right w:w="0" w:type="dxa"/>
        </w:tblCellMar>
        <w:tblLook w:val="04A0" w:firstRow="1" w:lastRow="0" w:firstColumn="1" w:lastColumn="0" w:noHBand="0" w:noVBand="1"/>
      </w:tblPr>
      <w:tblGrid>
        <w:gridCol w:w="3936"/>
        <w:gridCol w:w="5693"/>
      </w:tblGrid>
      <w:tr w:rsidR="008D4B2E" w:rsidTr="00B87081">
        <w:trPr>
          <w:divId w:val="525408917"/>
          <w:trHeight w:val="380"/>
          <w:tblHeader/>
        </w:trPr>
        <w:tc>
          <w:tcPr>
            <w:tcW w:w="3936"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362F1D" w:rsidRDefault="008D4B2E" w:rsidP="000C2E93">
            <w:pPr>
              <w:spacing w:line="240" w:lineRule="exact"/>
              <w:jc w:val="center"/>
              <w:rPr>
                <w:rFonts w:ascii="宋体" w:eastAsia="宋体" w:hAnsi="宋体" w:cs="宋体"/>
                <w:bCs/>
                <w:sz w:val="18"/>
                <w:szCs w:val="18"/>
              </w:rPr>
            </w:pPr>
            <w:r w:rsidRPr="00362F1D">
              <w:rPr>
                <w:rFonts w:ascii="宋体" w:eastAsia="宋体" w:hAnsi="宋体" w:cs="宋体" w:hint="eastAsia"/>
                <w:bCs/>
                <w:sz w:val="18"/>
                <w:szCs w:val="18"/>
              </w:rPr>
              <w:t>项目</w:t>
            </w:r>
          </w:p>
        </w:tc>
        <w:tc>
          <w:tcPr>
            <w:tcW w:w="5693"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362F1D" w:rsidRDefault="008D4B2E" w:rsidP="000C2E93">
            <w:pPr>
              <w:spacing w:line="240" w:lineRule="exact"/>
              <w:jc w:val="center"/>
              <w:rPr>
                <w:rFonts w:ascii="宋体" w:eastAsia="宋体" w:hAnsi="宋体" w:cs="宋体"/>
                <w:bCs/>
                <w:sz w:val="18"/>
                <w:szCs w:val="18"/>
              </w:rPr>
            </w:pPr>
            <w:r w:rsidRPr="00362F1D">
              <w:rPr>
                <w:rFonts w:ascii="宋体" w:eastAsia="宋体" w:hAnsi="宋体" w:cs="宋体" w:hint="eastAsia"/>
                <w:bCs/>
                <w:sz w:val="18"/>
                <w:szCs w:val="18"/>
              </w:rPr>
              <w:t>相关内容</w:t>
            </w:r>
          </w:p>
        </w:tc>
      </w:tr>
      <w:tr w:rsidR="008D4B2E" w:rsidTr="00B87081">
        <w:trPr>
          <w:divId w:val="525408917"/>
          <w:trHeight w:val="360"/>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公司本期授予的各项权益工具总额</w:t>
            </w:r>
          </w:p>
        </w:tc>
        <w:tc>
          <w:tcPr>
            <w:tcW w:w="5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360"/>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公司本期行权的各项权益工具总额</w:t>
            </w:r>
            <w:r w:rsidR="00C75946">
              <w:rPr>
                <w:rFonts w:ascii="宋体" w:eastAsia="宋体" w:hAnsi="宋体" w:cs="宋体" w:hint="eastAsia"/>
                <w:sz w:val="18"/>
                <w:szCs w:val="18"/>
              </w:rPr>
              <w:t>（元）</w:t>
            </w:r>
          </w:p>
        </w:tc>
        <w:tc>
          <w:tcPr>
            <w:tcW w:w="5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jc w:val="right"/>
              <w:rPr>
                <w:rFonts w:ascii="宋体" w:eastAsia="宋体" w:hAnsi="宋体" w:cs="宋体"/>
                <w:sz w:val="18"/>
                <w:szCs w:val="18"/>
              </w:rPr>
            </w:pPr>
            <w:r w:rsidRPr="000C2E93">
              <w:rPr>
                <w:rFonts w:ascii="宋体" w:eastAsia="宋体" w:hAnsi="宋体" w:cs="宋体"/>
                <w:sz w:val="18"/>
                <w:szCs w:val="18"/>
              </w:rPr>
              <w:t>41,890,003.62</w:t>
            </w:r>
          </w:p>
        </w:tc>
      </w:tr>
      <w:tr w:rsidR="008D4B2E" w:rsidTr="00B87081">
        <w:trPr>
          <w:divId w:val="525408917"/>
          <w:trHeight w:val="360"/>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公司本期失效的各项权益工具总额</w:t>
            </w:r>
          </w:p>
        </w:tc>
        <w:tc>
          <w:tcPr>
            <w:tcW w:w="5693"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510"/>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公司期末发行在外的股份期权行权价格的范围和合同剩余期限</w:t>
            </w:r>
          </w:p>
        </w:tc>
        <w:tc>
          <w:tcPr>
            <w:tcW w:w="5693"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495"/>
        </w:trPr>
        <w:tc>
          <w:tcPr>
            <w:tcW w:w="39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公司期末其他权益工具行权价格的范围和合同剩余期限</w:t>
            </w:r>
          </w:p>
        </w:tc>
        <w:tc>
          <w:tcPr>
            <w:tcW w:w="5693"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股票期权行权价格为</w:t>
            </w:r>
            <w:r w:rsidRPr="000C2E93">
              <w:rPr>
                <w:rFonts w:ascii="宋体" w:eastAsia="宋体" w:hAnsi="宋体" w:cs="宋体"/>
                <w:sz w:val="18"/>
                <w:szCs w:val="18"/>
              </w:rPr>
              <w:t>6.17</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股；股票期权激励计划的有效期为自股票期权授权之日起至激励</w:t>
            </w:r>
            <w:proofErr w:type="gramStart"/>
            <w:r w:rsidRPr="000C2E93">
              <w:rPr>
                <w:rFonts w:ascii="宋体" w:eastAsia="宋体" w:hAnsi="宋体" w:cs="宋体" w:hint="eastAsia"/>
                <w:sz w:val="18"/>
                <w:szCs w:val="18"/>
              </w:rPr>
              <w:t>对象获</w:t>
            </w:r>
            <w:proofErr w:type="gramEnd"/>
            <w:r w:rsidRPr="000C2E93">
              <w:rPr>
                <w:rFonts w:ascii="宋体" w:eastAsia="宋体" w:hAnsi="宋体" w:cs="宋体" w:hint="eastAsia"/>
                <w:sz w:val="18"/>
                <w:szCs w:val="18"/>
              </w:rPr>
              <w:t>授的股票期权全部行权或注销完毕之日止，最长不超过</w:t>
            </w:r>
            <w:r w:rsidRPr="000C2E93">
              <w:rPr>
                <w:rFonts w:ascii="宋体" w:eastAsia="宋体" w:hAnsi="宋体" w:cs="宋体"/>
                <w:sz w:val="18"/>
                <w:szCs w:val="18"/>
              </w:rPr>
              <w:t>48</w:t>
            </w:r>
            <w:r w:rsidRPr="000C2E93">
              <w:rPr>
                <w:rFonts w:ascii="宋体" w:eastAsia="宋体" w:hAnsi="宋体" w:cs="宋体" w:hint="eastAsia"/>
                <w:sz w:val="18"/>
                <w:szCs w:val="18"/>
              </w:rPr>
              <w:t>个月。</w:t>
            </w:r>
          </w:p>
        </w:tc>
      </w:tr>
    </w:tbl>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①</w:t>
      </w:r>
      <w:bookmarkStart w:id="398" w:name="_Hlk131835593"/>
      <w:bookmarkStart w:id="399" w:name="_Hlk131836475"/>
      <w:bookmarkEnd w:id="398"/>
      <w:bookmarkEnd w:id="399"/>
      <w:r w:rsidRPr="000C2E93">
        <w:rPr>
          <w:rFonts w:ascii="宋体" w:eastAsia="宋体" w:hAnsi="宋体" w:cs="宋体" w:hint="eastAsia"/>
          <w:sz w:val="18"/>
          <w:szCs w:val="18"/>
        </w:rPr>
        <w:t>公司于</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22</w:t>
      </w:r>
      <w:r w:rsidRPr="000C2E93">
        <w:rPr>
          <w:rFonts w:ascii="宋体" w:eastAsia="宋体" w:hAnsi="宋体" w:cs="宋体" w:hint="eastAsia"/>
          <w:sz w:val="18"/>
          <w:szCs w:val="18"/>
        </w:rPr>
        <w:t>日召开</w:t>
      </w:r>
      <w:r w:rsidRPr="000C2E93">
        <w:rPr>
          <w:rFonts w:ascii="宋体" w:eastAsia="宋体" w:hAnsi="宋体" w:cs="宋体"/>
          <w:sz w:val="18"/>
          <w:szCs w:val="18"/>
        </w:rPr>
        <w:t>2022</w:t>
      </w:r>
      <w:r w:rsidRPr="000C2E93">
        <w:rPr>
          <w:rFonts w:ascii="宋体" w:eastAsia="宋体" w:hAnsi="宋体" w:cs="宋体" w:hint="eastAsia"/>
          <w:sz w:val="18"/>
          <w:szCs w:val="18"/>
        </w:rPr>
        <w:t>年第一次临时股东大会审议通过了《关于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年股票期权与限制性股票激励计划（草案）</w:t>
      </w:r>
      <w:r w:rsidRPr="000C2E93">
        <w:rPr>
          <w:rFonts w:ascii="宋体" w:eastAsia="宋体" w:hAnsi="宋体" w:cs="宋体"/>
          <w:sz w:val="18"/>
          <w:szCs w:val="18"/>
        </w:rPr>
        <w:t>〉</w:t>
      </w:r>
      <w:r w:rsidRPr="000C2E93">
        <w:rPr>
          <w:rFonts w:ascii="宋体" w:eastAsia="宋体" w:hAnsi="宋体" w:cs="宋体" w:hint="eastAsia"/>
          <w:sz w:val="18"/>
          <w:szCs w:val="18"/>
        </w:rPr>
        <w:t>及其摘要的议案》、《关于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年股票期权与限制性股票激励计划实施考核管理办法</w:t>
      </w:r>
      <w:r w:rsidRPr="000C2E93">
        <w:rPr>
          <w:rFonts w:ascii="宋体" w:eastAsia="宋体" w:hAnsi="宋体" w:cs="宋体"/>
          <w:sz w:val="18"/>
          <w:szCs w:val="18"/>
        </w:rPr>
        <w:t>〉</w:t>
      </w:r>
      <w:r w:rsidRPr="000C2E93">
        <w:rPr>
          <w:rFonts w:ascii="宋体" w:eastAsia="宋体" w:hAnsi="宋体" w:cs="宋体" w:hint="eastAsia"/>
          <w:sz w:val="18"/>
          <w:szCs w:val="18"/>
        </w:rPr>
        <w:t>的议案》、《关于提请股东大会授权董事会办理股权激励相关事宜的议案》等与本次激励计划相关的议案。</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22</w:t>
      </w:r>
      <w:r w:rsidRPr="000C2E93">
        <w:rPr>
          <w:rFonts w:ascii="宋体" w:eastAsia="宋体" w:hAnsi="宋体" w:cs="宋体" w:hint="eastAsia"/>
          <w:sz w:val="18"/>
          <w:szCs w:val="18"/>
        </w:rPr>
        <w:t>日召开第八届董事会第三次会议、第八届监事会第四次会议，审议通过了《关于向激励对象授予股票期权与限制性股票的议案》，确定向符合激励计划的激励对象授予总计</w:t>
      </w:r>
      <w:r w:rsidRPr="000C2E93">
        <w:rPr>
          <w:rFonts w:ascii="宋体" w:eastAsia="宋体" w:hAnsi="宋体" w:cs="宋体"/>
          <w:sz w:val="18"/>
          <w:szCs w:val="18"/>
        </w:rPr>
        <w:t>3,980.00</w:t>
      </w:r>
      <w:r w:rsidRPr="000C2E93">
        <w:rPr>
          <w:rFonts w:ascii="宋体" w:eastAsia="宋体" w:hAnsi="宋体" w:cs="宋体" w:hint="eastAsia"/>
          <w:sz w:val="18"/>
          <w:szCs w:val="18"/>
        </w:rPr>
        <w:t>万份权益。其中，确定对官</w:t>
      </w:r>
      <w:proofErr w:type="gramStart"/>
      <w:r w:rsidRPr="000C2E93">
        <w:rPr>
          <w:rFonts w:ascii="宋体" w:eastAsia="宋体" w:hAnsi="宋体" w:cs="宋体" w:hint="eastAsia"/>
          <w:sz w:val="18"/>
          <w:szCs w:val="18"/>
        </w:rPr>
        <w:t>炳</w:t>
      </w:r>
      <w:proofErr w:type="gramEnd"/>
      <w:r w:rsidRPr="000C2E93">
        <w:rPr>
          <w:rFonts w:ascii="宋体" w:eastAsia="宋体" w:hAnsi="宋体" w:cs="宋体" w:hint="eastAsia"/>
          <w:sz w:val="18"/>
          <w:szCs w:val="18"/>
        </w:rPr>
        <w:t>政、张垚、杨慧丽等</w:t>
      </w:r>
      <w:r w:rsidRPr="000C2E93">
        <w:rPr>
          <w:rFonts w:ascii="宋体" w:eastAsia="宋体" w:hAnsi="宋体" w:cs="宋体"/>
          <w:sz w:val="18"/>
          <w:szCs w:val="18"/>
        </w:rPr>
        <w:t>251</w:t>
      </w:r>
      <w:r w:rsidRPr="000C2E93">
        <w:rPr>
          <w:rFonts w:ascii="宋体" w:eastAsia="宋体" w:hAnsi="宋体" w:cs="宋体" w:hint="eastAsia"/>
          <w:sz w:val="18"/>
          <w:szCs w:val="18"/>
        </w:rPr>
        <w:t>名激励对象授予</w:t>
      </w:r>
      <w:r w:rsidRPr="000C2E93">
        <w:rPr>
          <w:rFonts w:ascii="宋体" w:eastAsia="宋体" w:hAnsi="宋体" w:cs="宋体"/>
          <w:sz w:val="18"/>
          <w:szCs w:val="18"/>
        </w:rPr>
        <w:t>2388</w:t>
      </w:r>
      <w:r w:rsidRPr="000C2E93">
        <w:rPr>
          <w:rFonts w:ascii="宋体" w:eastAsia="宋体" w:hAnsi="宋体" w:cs="宋体" w:hint="eastAsia"/>
          <w:sz w:val="18"/>
          <w:szCs w:val="18"/>
        </w:rPr>
        <w:t>万份股票期权，期权行权价格为</w:t>
      </w:r>
      <w:r w:rsidRPr="000C2E93">
        <w:rPr>
          <w:rFonts w:ascii="宋体" w:eastAsia="宋体" w:hAnsi="宋体" w:cs="宋体"/>
          <w:sz w:val="18"/>
          <w:szCs w:val="18"/>
        </w:rPr>
        <w:t>6.17</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②</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持股计划通过向激励对象定向发行的公司人民币</w:t>
      </w:r>
      <w:r w:rsidRPr="000C2E93">
        <w:rPr>
          <w:rFonts w:ascii="宋体" w:eastAsia="宋体" w:hAnsi="宋体" w:cs="宋体"/>
          <w:sz w:val="18"/>
          <w:szCs w:val="18"/>
        </w:rPr>
        <w:t>A</w:t>
      </w:r>
      <w:r w:rsidRPr="000C2E93">
        <w:rPr>
          <w:rFonts w:ascii="宋体" w:eastAsia="宋体" w:hAnsi="宋体" w:cs="宋体" w:hint="eastAsia"/>
          <w:sz w:val="18"/>
          <w:szCs w:val="18"/>
        </w:rPr>
        <w:t>股普通股股票，分三期解锁，解锁时点分别为自公司公</w:t>
      </w:r>
      <w:r w:rsidRPr="000C2E93">
        <w:rPr>
          <w:rFonts w:ascii="宋体" w:eastAsia="宋体" w:hAnsi="宋体" w:cs="宋体" w:hint="eastAsia"/>
          <w:sz w:val="18"/>
          <w:szCs w:val="18"/>
        </w:rPr>
        <w:lastRenderedPageBreak/>
        <w:t>告最后一笔标的股票过户至</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持股计划名下之日起满</w:t>
      </w:r>
      <w:r w:rsidRPr="000C2E93">
        <w:rPr>
          <w:rFonts w:ascii="宋体" w:eastAsia="宋体" w:hAnsi="宋体" w:cs="宋体"/>
          <w:sz w:val="18"/>
          <w:szCs w:val="18"/>
        </w:rPr>
        <w:t>12</w:t>
      </w:r>
      <w:r w:rsidRPr="000C2E93">
        <w:rPr>
          <w:rFonts w:ascii="宋体" w:eastAsia="宋体" w:hAnsi="宋体" w:cs="宋体" w:hint="eastAsia"/>
          <w:sz w:val="18"/>
          <w:szCs w:val="18"/>
        </w:rPr>
        <w:t>个月、</w:t>
      </w:r>
      <w:r w:rsidRPr="000C2E93">
        <w:rPr>
          <w:rFonts w:ascii="宋体" w:eastAsia="宋体" w:hAnsi="宋体" w:cs="宋体"/>
          <w:sz w:val="18"/>
          <w:szCs w:val="18"/>
        </w:rPr>
        <w:t>24</w:t>
      </w:r>
      <w:r w:rsidRPr="000C2E93">
        <w:rPr>
          <w:rFonts w:ascii="宋体" w:eastAsia="宋体" w:hAnsi="宋体" w:cs="宋体" w:hint="eastAsia"/>
          <w:sz w:val="18"/>
          <w:szCs w:val="18"/>
        </w:rPr>
        <w:t>个月、</w:t>
      </w:r>
      <w:r w:rsidRPr="000C2E93">
        <w:rPr>
          <w:rFonts w:ascii="宋体" w:eastAsia="宋体" w:hAnsi="宋体" w:cs="宋体"/>
          <w:sz w:val="18"/>
          <w:szCs w:val="18"/>
        </w:rPr>
        <w:t>36</w:t>
      </w:r>
      <w:r w:rsidRPr="000C2E93">
        <w:rPr>
          <w:rFonts w:ascii="宋体" w:eastAsia="宋体" w:hAnsi="宋体" w:cs="宋体" w:hint="eastAsia"/>
          <w:sz w:val="18"/>
          <w:szCs w:val="18"/>
        </w:rPr>
        <w:t>个月，最长锁定期为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个月，每期解锁的标的股票比例分别为</w:t>
      </w:r>
      <w:r w:rsidRPr="000C2E93">
        <w:rPr>
          <w:rFonts w:ascii="宋体" w:eastAsia="宋体" w:hAnsi="宋体" w:cs="宋体"/>
          <w:sz w:val="18"/>
          <w:szCs w:val="18"/>
        </w:rPr>
        <w:t>40%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，各年度具体解锁比例和数量根据公司业绩指标和持有人考核结果计算确定。</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③</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9</w:t>
      </w:r>
      <w:r w:rsidRPr="000C2E93">
        <w:rPr>
          <w:rFonts w:ascii="宋体" w:eastAsia="宋体" w:hAnsi="宋体" w:cs="宋体" w:hint="eastAsia"/>
          <w:sz w:val="18"/>
          <w:szCs w:val="18"/>
        </w:rPr>
        <w:t>月</w:t>
      </w:r>
      <w:r w:rsidRPr="000C2E93">
        <w:rPr>
          <w:rFonts w:ascii="宋体" w:eastAsia="宋体" w:hAnsi="宋体" w:cs="宋体"/>
          <w:sz w:val="18"/>
          <w:szCs w:val="18"/>
        </w:rPr>
        <w:t>30</w:t>
      </w:r>
      <w:r w:rsidRPr="000C2E93">
        <w:rPr>
          <w:rFonts w:ascii="宋体" w:eastAsia="宋体" w:hAnsi="宋体" w:cs="宋体" w:hint="eastAsia"/>
          <w:sz w:val="18"/>
          <w:szCs w:val="18"/>
        </w:rPr>
        <w:t>日，公司完成了</w:t>
      </w:r>
      <w:r w:rsidRPr="000C2E93">
        <w:rPr>
          <w:rFonts w:ascii="宋体" w:eastAsia="宋体" w:hAnsi="宋体" w:cs="宋体"/>
          <w:sz w:val="18"/>
          <w:szCs w:val="18"/>
        </w:rPr>
        <w:t>2022</w:t>
      </w:r>
      <w:r w:rsidRPr="000C2E93">
        <w:rPr>
          <w:rFonts w:ascii="宋体" w:eastAsia="宋体" w:hAnsi="宋体" w:cs="宋体" w:hint="eastAsia"/>
          <w:sz w:val="18"/>
          <w:szCs w:val="18"/>
        </w:rPr>
        <w:t>年股票期权的授予登记工作，向</w:t>
      </w:r>
      <w:r w:rsidRPr="000C2E93">
        <w:rPr>
          <w:rFonts w:ascii="宋体" w:eastAsia="宋体" w:hAnsi="宋体" w:cs="宋体"/>
          <w:sz w:val="18"/>
          <w:szCs w:val="18"/>
        </w:rPr>
        <w:t>251</w:t>
      </w:r>
      <w:r w:rsidRPr="000C2E93">
        <w:rPr>
          <w:rFonts w:ascii="宋体" w:eastAsia="宋体" w:hAnsi="宋体" w:cs="宋体" w:hint="eastAsia"/>
          <w:sz w:val="18"/>
          <w:szCs w:val="18"/>
        </w:rPr>
        <w:t>名激励对象授予</w:t>
      </w:r>
      <w:r w:rsidRPr="000C2E93">
        <w:rPr>
          <w:rFonts w:ascii="宋体" w:eastAsia="宋体" w:hAnsi="宋体" w:cs="宋体"/>
          <w:sz w:val="18"/>
          <w:szCs w:val="18"/>
        </w:rPr>
        <w:t>2,388</w:t>
      </w:r>
      <w:r w:rsidRPr="000C2E93">
        <w:rPr>
          <w:rFonts w:ascii="宋体" w:eastAsia="宋体" w:hAnsi="宋体" w:cs="宋体" w:hint="eastAsia"/>
          <w:sz w:val="18"/>
          <w:szCs w:val="18"/>
        </w:rPr>
        <w:t>万份股票期权行权价格为</w:t>
      </w:r>
      <w:r w:rsidRPr="000C2E93">
        <w:rPr>
          <w:rFonts w:ascii="宋体" w:eastAsia="宋体" w:hAnsi="宋体" w:cs="宋体"/>
          <w:sz w:val="18"/>
          <w:szCs w:val="18"/>
        </w:rPr>
        <w:t>6.17</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股。公司全部有效的员工持股计划所持有的股票总数累计未超过公司股本总额的</w:t>
      </w:r>
      <w:r w:rsidRPr="000C2E93">
        <w:rPr>
          <w:rFonts w:ascii="宋体" w:eastAsia="宋体" w:hAnsi="宋体" w:cs="宋体"/>
          <w:sz w:val="18"/>
          <w:szCs w:val="18"/>
        </w:rPr>
        <w:t>10%</w:t>
      </w:r>
      <w:r w:rsidRPr="000C2E93">
        <w:rPr>
          <w:rFonts w:ascii="宋体" w:eastAsia="宋体" w:hAnsi="宋体" w:cs="宋体" w:hint="eastAsia"/>
          <w:sz w:val="18"/>
          <w:szCs w:val="18"/>
        </w:rPr>
        <w:t>，单个员工所获股份权益对应的股票总数累计未超过公司股本总额的</w:t>
      </w:r>
      <w:r w:rsidRPr="000C2E93">
        <w:rPr>
          <w:rFonts w:ascii="宋体" w:eastAsia="宋体" w:hAnsi="宋体" w:cs="宋体"/>
          <w:sz w:val="18"/>
          <w:szCs w:val="18"/>
        </w:rPr>
        <w:t>1%</w:t>
      </w:r>
      <w:r w:rsidRPr="000C2E93">
        <w:rPr>
          <w:rFonts w:ascii="宋体" w:eastAsia="宋体" w:hAnsi="宋体" w:cs="宋体" w:hint="eastAsia"/>
          <w:sz w:val="18"/>
          <w:szCs w:val="18"/>
        </w:rPr>
        <w:t>。</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④本激励计划在</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-2024</w:t>
      </w:r>
      <w:r w:rsidRPr="000C2E93">
        <w:rPr>
          <w:rFonts w:ascii="宋体" w:eastAsia="宋体" w:hAnsi="宋体" w:cs="宋体" w:hint="eastAsia"/>
          <w:sz w:val="18"/>
          <w:szCs w:val="18"/>
        </w:rPr>
        <w:t>年会计年度中，分年度对公司的业绩指标进行考核，以达到业绩考核目标作为激励对象当年度的解除限售条件之一。本激励计划业绩考核目标如下：</w:t>
      </w:r>
    </w:p>
    <w:tbl>
      <w:tblPr>
        <w:tblW w:w="9629" w:type="dxa"/>
        <w:tblCellMar>
          <w:left w:w="0" w:type="dxa"/>
          <w:right w:w="0" w:type="dxa"/>
        </w:tblCellMar>
        <w:tblLook w:val="04A0" w:firstRow="1" w:lastRow="0" w:firstColumn="1" w:lastColumn="0" w:noHBand="0" w:noVBand="1"/>
      </w:tblPr>
      <w:tblGrid>
        <w:gridCol w:w="2039"/>
        <w:gridCol w:w="7590"/>
      </w:tblGrid>
      <w:tr w:rsidR="008D4B2E" w:rsidTr="00B87081">
        <w:trPr>
          <w:divId w:val="525408917"/>
          <w:trHeight w:val="367"/>
        </w:trPr>
        <w:tc>
          <w:tcPr>
            <w:tcW w:w="2039" w:type="dxa"/>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C75946" w:rsidRDefault="008D4B2E" w:rsidP="00C75946">
            <w:pPr>
              <w:spacing w:line="240" w:lineRule="exact"/>
              <w:jc w:val="center"/>
              <w:rPr>
                <w:rFonts w:ascii="宋体" w:eastAsia="宋体" w:hAnsi="宋体" w:cs="宋体"/>
                <w:b/>
                <w:bCs/>
                <w:sz w:val="18"/>
                <w:szCs w:val="18"/>
              </w:rPr>
            </w:pPr>
            <w:r w:rsidRPr="00C75946">
              <w:rPr>
                <w:rFonts w:ascii="宋体" w:eastAsia="宋体" w:hAnsi="宋体" w:cs="宋体" w:hint="eastAsia"/>
                <w:sz w:val="18"/>
                <w:szCs w:val="18"/>
              </w:rPr>
              <w:t>解锁期</w:t>
            </w:r>
          </w:p>
        </w:tc>
        <w:tc>
          <w:tcPr>
            <w:tcW w:w="7590" w:type="dxa"/>
            <w:tcBorders>
              <w:top w:val="single" w:sz="8" w:space="0" w:color="auto"/>
              <w:left w:val="nil"/>
              <w:bottom w:val="single" w:sz="8" w:space="0" w:color="auto"/>
              <w:right w:val="single" w:sz="8" w:space="0" w:color="auto"/>
            </w:tcBorders>
            <w:shd w:val="clear" w:color="auto" w:fill="D3D3D3"/>
            <w:vAlign w:val="center"/>
            <w:hideMark/>
          </w:tcPr>
          <w:p w:rsidR="008D4B2E" w:rsidRPr="00C75946" w:rsidRDefault="008D4B2E" w:rsidP="00C75946">
            <w:pPr>
              <w:spacing w:line="240" w:lineRule="exact"/>
              <w:jc w:val="center"/>
              <w:rPr>
                <w:rFonts w:ascii="宋体" w:eastAsia="宋体" w:hAnsi="宋体" w:cs="宋体"/>
                <w:b/>
                <w:bCs/>
                <w:sz w:val="18"/>
                <w:szCs w:val="18"/>
              </w:rPr>
            </w:pPr>
            <w:r w:rsidRPr="00C75946">
              <w:rPr>
                <w:rFonts w:ascii="宋体" w:eastAsia="宋体" w:hAnsi="宋体" w:cs="宋体" w:hint="eastAsia"/>
                <w:sz w:val="18"/>
                <w:szCs w:val="18"/>
              </w:rPr>
              <w:t>业绩考核目标</w:t>
            </w:r>
          </w:p>
        </w:tc>
      </w:tr>
      <w:tr w:rsidR="008D4B2E" w:rsidTr="00B87081">
        <w:trPr>
          <w:divId w:val="525408917"/>
          <w:trHeight w:val="503"/>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第一个解锁期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2022</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25.00%</w:t>
            </w:r>
          </w:p>
        </w:tc>
      </w:tr>
      <w:tr w:rsidR="008D4B2E" w:rsidTr="00B87081">
        <w:trPr>
          <w:divId w:val="525408917"/>
          <w:trHeight w:val="436"/>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第二个解锁期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2023</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75.00%</w:t>
            </w:r>
          </w:p>
        </w:tc>
      </w:tr>
      <w:tr w:rsidR="008D4B2E" w:rsidTr="00B87081">
        <w:trPr>
          <w:divId w:val="525408917"/>
          <w:trHeight w:val="415"/>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第三个解锁期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2024</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125.00%</w:t>
            </w:r>
          </w:p>
        </w:tc>
      </w:tr>
    </w:tbl>
    <w:p w:rsidR="008D4B2E" w:rsidRPr="000C2E93" w:rsidRDefault="008D4B2E" w:rsidP="00B87081">
      <w:pPr>
        <w:divId w:val="525408917"/>
        <w:rPr>
          <w:rFonts w:ascii="宋体" w:eastAsia="宋体" w:hAnsi="宋体" w:cs="宋体"/>
          <w:sz w:val="18"/>
          <w:szCs w:val="18"/>
        </w:rPr>
      </w:pPr>
      <w:r w:rsidRPr="000C2E93">
        <w:rPr>
          <w:rFonts w:ascii="宋体" w:eastAsia="宋体" w:hAnsi="宋体" w:cs="宋体" w:hint="eastAsia"/>
          <w:sz w:val="18"/>
          <w:szCs w:val="18"/>
        </w:rPr>
        <w:t>注：上述</w:t>
      </w:r>
      <w:r w:rsidRPr="000C2E93">
        <w:rPr>
          <w:rFonts w:ascii="宋体" w:eastAsia="宋体" w:hAnsi="宋体" w:cs="宋体"/>
          <w:sz w:val="18"/>
          <w:szCs w:val="18"/>
        </w:rPr>
        <w:t>“</w:t>
      </w:r>
      <w:r w:rsidRPr="000C2E93">
        <w:rPr>
          <w:rFonts w:ascii="宋体" w:eastAsia="宋体" w:hAnsi="宋体" w:cs="宋体" w:hint="eastAsia"/>
          <w:sz w:val="18"/>
          <w:szCs w:val="18"/>
        </w:rPr>
        <w:t>净利润</w:t>
      </w:r>
      <w:r w:rsidRPr="000C2E93">
        <w:rPr>
          <w:rFonts w:ascii="宋体" w:eastAsia="宋体" w:hAnsi="宋体" w:cs="宋体"/>
          <w:sz w:val="18"/>
          <w:szCs w:val="18"/>
        </w:rPr>
        <w:t>”</w:t>
      </w:r>
      <w:r w:rsidRPr="000C2E93">
        <w:rPr>
          <w:rFonts w:ascii="宋体" w:eastAsia="宋体" w:hAnsi="宋体" w:cs="宋体" w:hint="eastAsia"/>
          <w:sz w:val="18"/>
          <w:szCs w:val="18"/>
        </w:rPr>
        <w:t>指经审计的归属于母公司的净利润。</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⑤公司于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4</w:t>
      </w:r>
      <w:r w:rsidRPr="000C2E93">
        <w:rPr>
          <w:rFonts w:ascii="宋体" w:eastAsia="宋体" w:hAnsi="宋体" w:cs="宋体" w:hint="eastAsia"/>
          <w:sz w:val="18"/>
          <w:szCs w:val="18"/>
        </w:rPr>
        <w:t>月</w:t>
      </w:r>
      <w:r w:rsidRPr="000C2E93">
        <w:rPr>
          <w:rFonts w:ascii="宋体" w:eastAsia="宋体" w:hAnsi="宋体" w:cs="宋体"/>
          <w:sz w:val="18"/>
          <w:szCs w:val="18"/>
        </w:rPr>
        <w:t>10</w:t>
      </w:r>
      <w:r w:rsidRPr="000C2E93">
        <w:rPr>
          <w:rFonts w:ascii="宋体" w:eastAsia="宋体" w:hAnsi="宋体" w:cs="宋体" w:hint="eastAsia"/>
          <w:sz w:val="18"/>
          <w:szCs w:val="18"/>
        </w:rPr>
        <w:t>日召开第八届董事会第六次会议与第八届监事会第七次会议，并于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5</w:t>
      </w:r>
      <w:r w:rsidRPr="000C2E93">
        <w:rPr>
          <w:rFonts w:ascii="宋体" w:eastAsia="宋体" w:hAnsi="宋体" w:cs="宋体" w:hint="eastAsia"/>
          <w:sz w:val="18"/>
          <w:szCs w:val="18"/>
        </w:rPr>
        <w:t>月</w:t>
      </w:r>
      <w:r w:rsidRPr="000C2E93">
        <w:rPr>
          <w:rFonts w:ascii="宋体" w:eastAsia="宋体" w:hAnsi="宋体" w:cs="宋体"/>
          <w:sz w:val="18"/>
          <w:szCs w:val="18"/>
        </w:rPr>
        <w:t>8</w:t>
      </w:r>
      <w:r w:rsidRPr="000C2E93">
        <w:rPr>
          <w:rFonts w:ascii="宋体" w:eastAsia="宋体" w:hAnsi="宋体" w:cs="宋体" w:hint="eastAsia"/>
          <w:sz w:val="18"/>
          <w:szCs w:val="18"/>
        </w:rPr>
        <w:t>日召开</w:t>
      </w:r>
      <w:r w:rsidRPr="000C2E93">
        <w:rPr>
          <w:rFonts w:ascii="宋体" w:eastAsia="宋体" w:hAnsi="宋体" w:cs="宋体"/>
          <w:sz w:val="18"/>
          <w:szCs w:val="18"/>
        </w:rPr>
        <w:t>2022</w:t>
      </w:r>
      <w:r w:rsidRPr="000C2E93">
        <w:rPr>
          <w:rFonts w:ascii="宋体" w:eastAsia="宋体" w:hAnsi="宋体" w:cs="宋体" w:hint="eastAsia"/>
          <w:sz w:val="18"/>
          <w:szCs w:val="18"/>
        </w:rPr>
        <w:t>年度股东大会，审议通过了《关于注销部分股票期权和回购注销部分限制性股票的议案》。根据公司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年股票期权与限制性股票激励计划的相关规定，因</w:t>
      </w:r>
      <w:r w:rsidRPr="000C2E93">
        <w:rPr>
          <w:rFonts w:ascii="宋体" w:eastAsia="宋体" w:hAnsi="宋体" w:cs="宋体"/>
          <w:sz w:val="18"/>
          <w:szCs w:val="18"/>
        </w:rPr>
        <w:t>3</w:t>
      </w:r>
      <w:r w:rsidRPr="000C2E93">
        <w:rPr>
          <w:rFonts w:ascii="宋体" w:eastAsia="宋体" w:hAnsi="宋体" w:cs="宋体" w:hint="eastAsia"/>
          <w:sz w:val="18"/>
          <w:szCs w:val="18"/>
        </w:rPr>
        <w:t>名激励对象离职，公司同意对其</w:t>
      </w:r>
      <w:proofErr w:type="gramStart"/>
      <w:r w:rsidRPr="000C2E93">
        <w:rPr>
          <w:rFonts w:ascii="宋体" w:eastAsia="宋体" w:hAnsi="宋体" w:cs="宋体" w:hint="eastAsia"/>
          <w:sz w:val="18"/>
          <w:szCs w:val="18"/>
        </w:rPr>
        <w:t>已获授但尚未</w:t>
      </w:r>
      <w:proofErr w:type="gramEnd"/>
      <w:r w:rsidRPr="000C2E93">
        <w:rPr>
          <w:rFonts w:ascii="宋体" w:eastAsia="宋体" w:hAnsi="宋体" w:cs="宋体" w:hint="eastAsia"/>
          <w:sz w:val="18"/>
          <w:szCs w:val="18"/>
        </w:rPr>
        <w:t>行权的股票期权合计</w:t>
      </w:r>
      <w:r w:rsidRPr="000C2E93">
        <w:rPr>
          <w:rFonts w:ascii="宋体" w:eastAsia="宋体" w:hAnsi="宋体" w:cs="宋体"/>
          <w:sz w:val="18"/>
          <w:szCs w:val="18"/>
        </w:rPr>
        <w:t>200,000.00</w:t>
      </w:r>
      <w:r w:rsidRPr="000C2E93">
        <w:rPr>
          <w:rFonts w:ascii="宋体" w:eastAsia="宋体" w:hAnsi="宋体" w:cs="宋体" w:hint="eastAsia"/>
          <w:sz w:val="18"/>
          <w:szCs w:val="18"/>
        </w:rPr>
        <w:t>份予以注销。</w:t>
      </w:r>
    </w:p>
    <w:p w:rsidR="008D4B2E" w:rsidRDefault="008D4B2E">
      <w:pPr>
        <w:pStyle w:val="a3"/>
        <w:spacing w:before="0" w:beforeAutospacing="0" w:after="0" w:afterAutospacing="0" w:line="400" w:lineRule="atLeast"/>
        <w:ind w:left="482"/>
        <w:jc w:val="both"/>
        <w:divId w:val="525408917"/>
        <w:rPr>
          <w:rFonts w:ascii="Arial" w:hAnsi="Arial" w:cs="Arial"/>
          <w:sz w:val="20"/>
          <w:szCs w:val="20"/>
        </w:rPr>
      </w:pPr>
      <w:r>
        <w:rPr>
          <w:rStyle w:val="a4"/>
          <w:rFonts w:cs="Arial" w:hint="eastAsia"/>
          <w:sz w:val="20"/>
          <w:szCs w:val="20"/>
        </w:rPr>
        <w:t>（</w:t>
      </w:r>
      <w:r>
        <w:rPr>
          <w:rStyle w:val="a4"/>
          <w:rFonts w:ascii="Arial" w:hAnsi="Arial" w:cs="Arial"/>
          <w:sz w:val="20"/>
          <w:szCs w:val="20"/>
        </w:rPr>
        <w:t>4</w:t>
      </w:r>
      <w:r>
        <w:rPr>
          <w:rStyle w:val="a4"/>
          <w:rFonts w:cs="Arial" w:hint="eastAsia"/>
          <w:sz w:val="20"/>
          <w:szCs w:val="20"/>
        </w:rPr>
        <w:t>）</w:t>
      </w:r>
      <w:r>
        <w:rPr>
          <w:rStyle w:val="a4"/>
          <w:rFonts w:ascii="Arial" w:hAnsi="Arial" w:cs="Arial"/>
          <w:sz w:val="20"/>
          <w:szCs w:val="20"/>
        </w:rPr>
        <w:t>2022</w:t>
      </w:r>
      <w:r>
        <w:rPr>
          <w:rStyle w:val="a4"/>
          <w:rFonts w:cs="Arial" w:hint="eastAsia"/>
          <w:sz w:val="20"/>
          <w:szCs w:val="20"/>
        </w:rPr>
        <w:t>年期</w:t>
      </w:r>
      <w:r>
        <w:rPr>
          <w:rStyle w:val="a4"/>
          <w:rFonts w:ascii="Arial" w:hAnsi="Arial" w:cs="Arial"/>
          <w:sz w:val="20"/>
          <w:szCs w:val="20"/>
        </w:rPr>
        <w:t>-</w:t>
      </w:r>
      <w:r>
        <w:rPr>
          <w:rStyle w:val="a4"/>
          <w:rFonts w:cs="Arial" w:hint="eastAsia"/>
          <w:sz w:val="20"/>
          <w:szCs w:val="20"/>
        </w:rPr>
        <w:t>限制性股票</w:t>
      </w:r>
    </w:p>
    <w:tbl>
      <w:tblPr>
        <w:tblW w:w="9629" w:type="dxa"/>
        <w:tblCellMar>
          <w:left w:w="0" w:type="dxa"/>
          <w:right w:w="0" w:type="dxa"/>
        </w:tblCellMar>
        <w:tblLook w:val="04A0" w:firstRow="1" w:lastRow="0" w:firstColumn="1" w:lastColumn="0" w:noHBand="0" w:noVBand="1"/>
      </w:tblPr>
      <w:tblGrid>
        <w:gridCol w:w="4219"/>
        <w:gridCol w:w="5410"/>
      </w:tblGrid>
      <w:tr w:rsidR="008D4B2E" w:rsidTr="00B87081">
        <w:trPr>
          <w:divId w:val="525408917"/>
          <w:trHeight w:val="380"/>
          <w:tblHeader/>
        </w:trPr>
        <w:tc>
          <w:tcPr>
            <w:tcW w:w="4219"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项目</w:t>
            </w:r>
          </w:p>
        </w:tc>
        <w:tc>
          <w:tcPr>
            <w:tcW w:w="5410"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相关内容</w:t>
            </w:r>
          </w:p>
        </w:tc>
      </w:tr>
      <w:tr w:rsidR="008D4B2E" w:rsidTr="00B87081">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公司本期授予的各项权益工具总额</w:t>
            </w:r>
          </w:p>
        </w:tc>
        <w:tc>
          <w:tcPr>
            <w:tcW w:w="5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公司本期行权的各项权益工具总额</w:t>
            </w:r>
            <w:r w:rsidR="00C75946">
              <w:rPr>
                <w:rFonts w:ascii="宋体" w:eastAsia="宋体" w:hAnsi="宋体" w:cs="宋体" w:hint="eastAsia"/>
                <w:sz w:val="18"/>
                <w:szCs w:val="18"/>
              </w:rPr>
              <w:t>（元）</w:t>
            </w:r>
          </w:p>
        </w:tc>
        <w:tc>
          <w:tcPr>
            <w:tcW w:w="5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jc w:val="right"/>
              <w:rPr>
                <w:rFonts w:ascii="宋体" w:eastAsia="宋体" w:hAnsi="宋体" w:cs="宋体"/>
                <w:sz w:val="18"/>
                <w:szCs w:val="18"/>
              </w:rPr>
            </w:pPr>
            <w:r w:rsidRPr="000C2E93">
              <w:rPr>
                <w:rFonts w:ascii="宋体" w:eastAsia="宋体" w:hAnsi="宋体" w:cs="宋体"/>
                <w:sz w:val="18"/>
                <w:szCs w:val="18"/>
              </w:rPr>
              <w:t>27,047,000.00</w:t>
            </w:r>
          </w:p>
        </w:tc>
      </w:tr>
      <w:tr w:rsidR="008D4B2E" w:rsidTr="00B87081">
        <w:trPr>
          <w:divId w:val="525408917"/>
          <w:trHeight w:val="36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公司本期失效的各项权益工具总额</w:t>
            </w:r>
          </w:p>
        </w:tc>
        <w:tc>
          <w:tcPr>
            <w:tcW w:w="5410"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510"/>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公司期末发行在外的股份期权行权价格的范围和合同剩余期限</w:t>
            </w:r>
          </w:p>
        </w:tc>
        <w:tc>
          <w:tcPr>
            <w:tcW w:w="5410"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495"/>
        </w:trPr>
        <w:tc>
          <w:tcPr>
            <w:tcW w:w="42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公司期末其他权益工具行权价格的范围和合同剩余期限</w:t>
            </w:r>
          </w:p>
        </w:tc>
        <w:tc>
          <w:tcPr>
            <w:tcW w:w="5410"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授予价格为</w:t>
            </w:r>
            <w:r w:rsidRPr="000C2E93">
              <w:rPr>
                <w:rFonts w:ascii="宋体" w:eastAsia="宋体" w:hAnsi="宋体" w:cs="宋体"/>
                <w:sz w:val="18"/>
                <w:szCs w:val="18"/>
              </w:rPr>
              <w:t>3.86</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股；限制性股票激励计划的有效期为自限制性股票授予之日起至激励</w:t>
            </w:r>
            <w:proofErr w:type="gramStart"/>
            <w:r w:rsidRPr="000C2E93">
              <w:rPr>
                <w:rFonts w:ascii="宋体" w:eastAsia="宋体" w:hAnsi="宋体" w:cs="宋体" w:hint="eastAsia"/>
                <w:sz w:val="18"/>
                <w:szCs w:val="18"/>
              </w:rPr>
              <w:t>对象获</w:t>
            </w:r>
            <w:proofErr w:type="gramEnd"/>
            <w:r w:rsidRPr="000C2E93">
              <w:rPr>
                <w:rFonts w:ascii="宋体" w:eastAsia="宋体" w:hAnsi="宋体" w:cs="宋体" w:hint="eastAsia"/>
                <w:sz w:val="18"/>
                <w:szCs w:val="18"/>
              </w:rPr>
              <w:t>授的限制性股票全部解除限售或回购注销完毕之日止，最长不超过</w:t>
            </w:r>
            <w:r w:rsidRPr="000C2E93">
              <w:rPr>
                <w:rFonts w:ascii="宋体" w:eastAsia="宋体" w:hAnsi="宋体" w:cs="宋体"/>
                <w:sz w:val="18"/>
                <w:szCs w:val="18"/>
              </w:rPr>
              <w:t>48</w:t>
            </w:r>
            <w:r w:rsidRPr="000C2E93">
              <w:rPr>
                <w:rFonts w:ascii="宋体" w:eastAsia="宋体" w:hAnsi="宋体" w:cs="宋体" w:hint="eastAsia"/>
                <w:sz w:val="18"/>
                <w:szCs w:val="18"/>
              </w:rPr>
              <w:t>个月。</w:t>
            </w:r>
          </w:p>
        </w:tc>
      </w:tr>
    </w:tbl>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①公司于</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22</w:t>
      </w:r>
      <w:r w:rsidRPr="000C2E93">
        <w:rPr>
          <w:rFonts w:ascii="宋体" w:eastAsia="宋体" w:hAnsi="宋体" w:cs="宋体" w:hint="eastAsia"/>
          <w:sz w:val="18"/>
          <w:szCs w:val="18"/>
        </w:rPr>
        <w:t>日召开</w:t>
      </w:r>
      <w:r w:rsidRPr="000C2E93">
        <w:rPr>
          <w:rFonts w:ascii="宋体" w:eastAsia="宋体" w:hAnsi="宋体" w:cs="宋体"/>
          <w:sz w:val="18"/>
          <w:szCs w:val="18"/>
        </w:rPr>
        <w:t>2022</w:t>
      </w:r>
      <w:r w:rsidRPr="000C2E93">
        <w:rPr>
          <w:rFonts w:ascii="宋体" w:eastAsia="宋体" w:hAnsi="宋体" w:cs="宋体" w:hint="eastAsia"/>
          <w:sz w:val="18"/>
          <w:szCs w:val="18"/>
        </w:rPr>
        <w:t>年第一次临时股东大会审议通过了《关于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年股票期权与限制性股票激励计划（草案）</w:t>
      </w:r>
      <w:r w:rsidRPr="000C2E93">
        <w:rPr>
          <w:rFonts w:ascii="宋体" w:eastAsia="宋体" w:hAnsi="宋体" w:cs="宋体"/>
          <w:sz w:val="18"/>
          <w:szCs w:val="18"/>
        </w:rPr>
        <w:t>〉</w:t>
      </w:r>
      <w:r w:rsidRPr="000C2E93">
        <w:rPr>
          <w:rFonts w:ascii="宋体" w:eastAsia="宋体" w:hAnsi="宋体" w:cs="宋体" w:hint="eastAsia"/>
          <w:sz w:val="18"/>
          <w:szCs w:val="18"/>
        </w:rPr>
        <w:t>及其摘要的议案》、《关于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2022</w:t>
      </w:r>
      <w:r w:rsidRPr="000C2E93">
        <w:rPr>
          <w:rFonts w:ascii="宋体" w:eastAsia="宋体" w:hAnsi="宋体" w:cs="宋体" w:hint="eastAsia"/>
          <w:sz w:val="18"/>
          <w:szCs w:val="18"/>
        </w:rPr>
        <w:t>年股票期权与限制性股票激励计划实施考核管理办法</w:t>
      </w:r>
      <w:r w:rsidRPr="000C2E93">
        <w:rPr>
          <w:rFonts w:ascii="宋体" w:eastAsia="宋体" w:hAnsi="宋体" w:cs="宋体"/>
          <w:sz w:val="18"/>
          <w:szCs w:val="18"/>
        </w:rPr>
        <w:t>〉</w:t>
      </w:r>
      <w:r w:rsidRPr="000C2E93">
        <w:rPr>
          <w:rFonts w:ascii="宋体" w:eastAsia="宋体" w:hAnsi="宋体" w:cs="宋体" w:hint="eastAsia"/>
          <w:sz w:val="18"/>
          <w:szCs w:val="18"/>
        </w:rPr>
        <w:t>的议案》、《关于提请股东大会授权董事会办理股权激励相关事宜的议案》等与本次激励计划相关的议案。</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22</w:t>
      </w:r>
      <w:r w:rsidRPr="000C2E93">
        <w:rPr>
          <w:rFonts w:ascii="宋体" w:eastAsia="宋体" w:hAnsi="宋体" w:cs="宋体" w:hint="eastAsia"/>
          <w:sz w:val="18"/>
          <w:szCs w:val="18"/>
        </w:rPr>
        <w:t>日召开第八届董事会第三次会议、第八届监事会第四次会议，审议通过了《关于向激励对象授予股票期权与限制性股票的议案》，确定向符合激励计划的激励对象授予总计</w:t>
      </w:r>
      <w:r w:rsidRPr="000C2E93">
        <w:rPr>
          <w:rFonts w:ascii="宋体" w:eastAsia="宋体" w:hAnsi="宋体" w:cs="宋体"/>
          <w:sz w:val="18"/>
          <w:szCs w:val="18"/>
        </w:rPr>
        <w:t>3,980.00</w:t>
      </w:r>
      <w:r w:rsidRPr="000C2E93">
        <w:rPr>
          <w:rFonts w:ascii="宋体" w:eastAsia="宋体" w:hAnsi="宋体" w:cs="宋体" w:hint="eastAsia"/>
          <w:sz w:val="18"/>
          <w:szCs w:val="18"/>
        </w:rPr>
        <w:t>万份权益。其中，确定对官</w:t>
      </w:r>
      <w:proofErr w:type="gramStart"/>
      <w:r w:rsidRPr="000C2E93">
        <w:rPr>
          <w:rFonts w:ascii="宋体" w:eastAsia="宋体" w:hAnsi="宋体" w:cs="宋体" w:hint="eastAsia"/>
          <w:sz w:val="18"/>
          <w:szCs w:val="18"/>
        </w:rPr>
        <w:t>炳</w:t>
      </w:r>
      <w:proofErr w:type="gramEnd"/>
      <w:r w:rsidRPr="000C2E93">
        <w:rPr>
          <w:rFonts w:ascii="宋体" w:eastAsia="宋体" w:hAnsi="宋体" w:cs="宋体" w:hint="eastAsia"/>
          <w:sz w:val="18"/>
          <w:szCs w:val="18"/>
        </w:rPr>
        <w:t>政、张垚、杨慧丽等</w:t>
      </w:r>
      <w:r w:rsidRPr="000C2E93">
        <w:rPr>
          <w:rFonts w:ascii="宋体" w:eastAsia="宋体" w:hAnsi="宋体" w:cs="宋体"/>
          <w:sz w:val="18"/>
          <w:szCs w:val="18"/>
        </w:rPr>
        <w:t>245</w:t>
      </w:r>
      <w:r w:rsidRPr="000C2E93">
        <w:rPr>
          <w:rFonts w:ascii="宋体" w:eastAsia="宋体" w:hAnsi="宋体" w:cs="宋体" w:hint="eastAsia"/>
          <w:sz w:val="18"/>
          <w:szCs w:val="18"/>
        </w:rPr>
        <w:t>名参加对象授予</w:t>
      </w:r>
      <w:r w:rsidRPr="000C2E93">
        <w:rPr>
          <w:rFonts w:ascii="宋体" w:eastAsia="宋体" w:hAnsi="宋体" w:cs="宋体"/>
          <w:sz w:val="18"/>
          <w:szCs w:val="18"/>
        </w:rPr>
        <w:t>1,592</w:t>
      </w:r>
      <w:r w:rsidRPr="000C2E93">
        <w:rPr>
          <w:rFonts w:ascii="宋体" w:eastAsia="宋体" w:hAnsi="宋体" w:cs="宋体" w:hint="eastAsia"/>
          <w:sz w:val="18"/>
          <w:szCs w:val="18"/>
        </w:rPr>
        <w:t>万股限制性股票，本次实际</w:t>
      </w:r>
      <w:r w:rsidRPr="000C2E93">
        <w:rPr>
          <w:rFonts w:ascii="宋体" w:eastAsia="宋体" w:hAnsi="宋体" w:cs="宋体"/>
          <w:sz w:val="18"/>
          <w:szCs w:val="18"/>
        </w:rPr>
        <w:t>245</w:t>
      </w:r>
      <w:r w:rsidRPr="000C2E93">
        <w:rPr>
          <w:rFonts w:ascii="宋体" w:eastAsia="宋体" w:hAnsi="宋体" w:cs="宋体" w:hint="eastAsia"/>
          <w:sz w:val="18"/>
          <w:szCs w:val="18"/>
        </w:rPr>
        <w:t>名参加对象认购</w:t>
      </w:r>
      <w:r w:rsidRPr="000C2E93">
        <w:rPr>
          <w:rFonts w:ascii="宋体" w:eastAsia="宋体" w:hAnsi="宋体" w:cs="宋体"/>
          <w:sz w:val="18"/>
          <w:szCs w:val="18"/>
        </w:rPr>
        <w:t>15,920,000</w:t>
      </w:r>
      <w:r w:rsidRPr="000C2E93">
        <w:rPr>
          <w:rFonts w:ascii="宋体" w:eastAsia="宋体" w:hAnsi="宋体" w:cs="宋体" w:hint="eastAsia"/>
          <w:sz w:val="18"/>
          <w:szCs w:val="18"/>
        </w:rPr>
        <w:t>股限制性股票，股票面值</w:t>
      </w:r>
      <w:r w:rsidRPr="000C2E93">
        <w:rPr>
          <w:rFonts w:ascii="宋体" w:eastAsia="宋体" w:hAnsi="宋体" w:cs="宋体"/>
          <w:sz w:val="18"/>
          <w:szCs w:val="18"/>
        </w:rPr>
        <w:t>1</w:t>
      </w:r>
      <w:r w:rsidRPr="000C2E93">
        <w:rPr>
          <w:rFonts w:ascii="宋体" w:eastAsia="宋体" w:hAnsi="宋体" w:cs="宋体" w:hint="eastAsia"/>
          <w:sz w:val="18"/>
          <w:szCs w:val="18"/>
        </w:rPr>
        <w:t>元，认购价格为</w:t>
      </w:r>
      <w:r w:rsidRPr="000C2E93">
        <w:rPr>
          <w:rFonts w:ascii="宋体" w:eastAsia="宋体" w:hAnsi="宋体" w:cs="宋体"/>
          <w:sz w:val="18"/>
          <w:szCs w:val="18"/>
        </w:rPr>
        <w:t>3.86</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②</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持股计划通过向激励对象定向发行的公司人民币</w:t>
      </w:r>
      <w:r w:rsidRPr="000C2E93">
        <w:rPr>
          <w:rFonts w:ascii="宋体" w:eastAsia="宋体" w:hAnsi="宋体" w:cs="宋体"/>
          <w:sz w:val="18"/>
          <w:szCs w:val="18"/>
        </w:rPr>
        <w:t>A</w:t>
      </w:r>
      <w:r w:rsidRPr="000C2E93">
        <w:rPr>
          <w:rFonts w:ascii="宋体" w:eastAsia="宋体" w:hAnsi="宋体" w:cs="宋体" w:hint="eastAsia"/>
          <w:sz w:val="18"/>
          <w:szCs w:val="18"/>
        </w:rPr>
        <w:t>股普通股股票，分三期解锁，解锁时点分别为自公司公告最后一笔标的股票过户至</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持股计划名下之日起满</w:t>
      </w:r>
      <w:r w:rsidRPr="000C2E93">
        <w:rPr>
          <w:rFonts w:ascii="宋体" w:eastAsia="宋体" w:hAnsi="宋体" w:cs="宋体"/>
          <w:sz w:val="18"/>
          <w:szCs w:val="18"/>
        </w:rPr>
        <w:t>12</w:t>
      </w:r>
      <w:r w:rsidRPr="000C2E93">
        <w:rPr>
          <w:rFonts w:ascii="宋体" w:eastAsia="宋体" w:hAnsi="宋体" w:cs="宋体" w:hint="eastAsia"/>
          <w:sz w:val="18"/>
          <w:szCs w:val="18"/>
        </w:rPr>
        <w:t>个月、</w:t>
      </w:r>
      <w:r w:rsidRPr="000C2E93">
        <w:rPr>
          <w:rFonts w:ascii="宋体" w:eastAsia="宋体" w:hAnsi="宋体" w:cs="宋体"/>
          <w:sz w:val="18"/>
          <w:szCs w:val="18"/>
        </w:rPr>
        <w:t>24</w:t>
      </w:r>
      <w:r w:rsidRPr="000C2E93">
        <w:rPr>
          <w:rFonts w:ascii="宋体" w:eastAsia="宋体" w:hAnsi="宋体" w:cs="宋体" w:hint="eastAsia"/>
          <w:sz w:val="18"/>
          <w:szCs w:val="18"/>
        </w:rPr>
        <w:t>个月、</w:t>
      </w:r>
      <w:r w:rsidRPr="000C2E93">
        <w:rPr>
          <w:rFonts w:ascii="宋体" w:eastAsia="宋体" w:hAnsi="宋体" w:cs="宋体"/>
          <w:sz w:val="18"/>
          <w:szCs w:val="18"/>
        </w:rPr>
        <w:t>36</w:t>
      </w:r>
      <w:r w:rsidRPr="000C2E93">
        <w:rPr>
          <w:rFonts w:ascii="宋体" w:eastAsia="宋体" w:hAnsi="宋体" w:cs="宋体" w:hint="eastAsia"/>
          <w:sz w:val="18"/>
          <w:szCs w:val="18"/>
        </w:rPr>
        <w:t>个月，最长锁定期为</w:t>
      </w:r>
      <w:r w:rsidRPr="000C2E93">
        <w:rPr>
          <w:rFonts w:ascii="宋体" w:eastAsia="宋体" w:hAnsi="宋体" w:cs="宋体"/>
          <w:sz w:val="18"/>
          <w:szCs w:val="18"/>
        </w:rPr>
        <w:t>36</w:t>
      </w:r>
      <w:r w:rsidRPr="000C2E93">
        <w:rPr>
          <w:rFonts w:ascii="宋体" w:eastAsia="宋体" w:hAnsi="宋体" w:cs="宋体" w:hint="eastAsia"/>
          <w:sz w:val="18"/>
          <w:szCs w:val="18"/>
        </w:rPr>
        <w:t>个月，每期解锁的标的股票比例分别为</w:t>
      </w:r>
      <w:r w:rsidRPr="000C2E93">
        <w:rPr>
          <w:rFonts w:ascii="宋体" w:eastAsia="宋体" w:hAnsi="宋体" w:cs="宋体"/>
          <w:sz w:val="18"/>
          <w:szCs w:val="18"/>
        </w:rPr>
        <w:t>40%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w:t>
      </w:r>
      <w:r w:rsidRPr="000C2E93">
        <w:rPr>
          <w:rFonts w:ascii="宋体" w:eastAsia="宋体" w:hAnsi="宋体" w:cs="宋体"/>
          <w:sz w:val="18"/>
          <w:szCs w:val="18"/>
        </w:rPr>
        <w:t>30%</w:t>
      </w:r>
      <w:r w:rsidRPr="000C2E93">
        <w:rPr>
          <w:rFonts w:ascii="宋体" w:eastAsia="宋体" w:hAnsi="宋体" w:cs="宋体" w:hint="eastAsia"/>
          <w:sz w:val="18"/>
          <w:szCs w:val="18"/>
        </w:rPr>
        <w:t>，各年度具体解锁比例和数量根据公司业绩指标和持有人考核结果计算确定。</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③</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10</w:t>
      </w:r>
      <w:r w:rsidRPr="000C2E93">
        <w:rPr>
          <w:rFonts w:ascii="宋体" w:eastAsia="宋体" w:hAnsi="宋体" w:cs="宋体" w:hint="eastAsia"/>
          <w:sz w:val="18"/>
          <w:szCs w:val="18"/>
        </w:rPr>
        <w:t>月</w:t>
      </w:r>
      <w:r w:rsidRPr="000C2E93">
        <w:rPr>
          <w:rFonts w:ascii="宋体" w:eastAsia="宋体" w:hAnsi="宋体" w:cs="宋体"/>
          <w:sz w:val="18"/>
          <w:szCs w:val="18"/>
        </w:rPr>
        <w:t>13</w:t>
      </w:r>
      <w:r w:rsidRPr="000C2E93">
        <w:rPr>
          <w:rFonts w:ascii="宋体" w:eastAsia="宋体" w:hAnsi="宋体" w:cs="宋体" w:hint="eastAsia"/>
          <w:sz w:val="18"/>
          <w:szCs w:val="18"/>
        </w:rPr>
        <w:t>日，公司完成了</w:t>
      </w:r>
      <w:r w:rsidRPr="000C2E93">
        <w:rPr>
          <w:rFonts w:ascii="宋体" w:eastAsia="宋体" w:hAnsi="宋体" w:cs="宋体"/>
          <w:sz w:val="18"/>
          <w:szCs w:val="18"/>
        </w:rPr>
        <w:t>2022</w:t>
      </w:r>
      <w:r w:rsidRPr="000C2E93">
        <w:rPr>
          <w:rFonts w:ascii="宋体" w:eastAsia="宋体" w:hAnsi="宋体" w:cs="宋体" w:hint="eastAsia"/>
          <w:sz w:val="18"/>
          <w:szCs w:val="18"/>
        </w:rPr>
        <w:t>年限制性股票激励计划限制性股票的授予登记工作，向</w:t>
      </w:r>
      <w:r w:rsidRPr="000C2E93">
        <w:rPr>
          <w:rFonts w:ascii="宋体" w:eastAsia="宋体" w:hAnsi="宋体" w:cs="宋体"/>
          <w:sz w:val="18"/>
          <w:szCs w:val="18"/>
        </w:rPr>
        <w:t>245</w:t>
      </w:r>
      <w:r w:rsidRPr="000C2E93">
        <w:rPr>
          <w:rFonts w:ascii="宋体" w:eastAsia="宋体" w:hAnsi="宋体" w:cs="宋体" w:hint="eastAsia"/>
          <w:sz w:val="18"/>
          <w:szCs w:val="18"/>
        </w:rPr>
        <w:t>名激励对象授予</w:t>
      </w:r>
      <w:r w:rsidRPr="000C2E93">
        <w:rPr>
          <w:rFonts w:ascii="宋体" w:eastAsia="宋体" w:hAnsi="宋体" w:cs="宋体"/>
          <w:sz w:val="18"/>
          <w:szCs w:val="18"/>
        </w:rPr>
        <w:t>1,592.00</w:t>
      </w:r>
      <w:r w:rsidRPr="000C2E93">
        <w:rPr>
          <w:rFonts w:ascii="宋体" w:eastAsia="宋体" w:hAnsi="宋体" w:cs="宋体" w:hint="eastAsia"/>
          <w:sz w:val="18"/>
          <w:szCs w:val="18"/>
        </w:rPr>
        <w:t>万份限制性股票，授予价格为</w:t>
      </w:r>
      <w:r w:rsidRPr="000C2E93">
        <w:rPr>
          <w:rFonts w:ascii="宋体" w:eastAsia="宋体" w:hAnsi="宋体" w:cs="宋体"/>
          <w:sz w:val="18"/>
          <w:szCs w:val="18"/>
        </w:rPr>
        <w:t>3.86</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股，授予的限制性股票于</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10</w:t>
      </w:r>
      <w:r w:rsidRPr="000C2E93">
        <w:rPr>
          <w:rFonts w:ascii="宋体" w:eastAsia="宋体" w:hAnsi="宋体" w:cs="宋体" w:hint="eastAsia"/>
          <w:sz w:val="18"/>
          <w:szCs w:val="18"/>
        </w:rPr>
        <w:t>月</w:t>
      </w:r>
      <w:r w:rsidRPr="000C2E93">
        <w:rPr>
          <w:rFonts w:ascii="宋体" w:eastAsia="宋体" w:hAnsi="宋体" w:cs="宋体"/>
          <w:sz w:val="18"/>
          <w:szCs w:val="18"/>
        </w:rPr>
        <w:t>13</w:t>
      </w:r>
      <w:r w:rsidRPr="000C2E93">
        <w:rPr>
          <w:rFonts w:ascii="宋体" w:eastAsia="宋体" w:hAnsi="宋体" w:cs="宋体" w:hint="eastAsia"/>
          <w:sz w:val="18"/>
          <w:szCs w:val="18"/>
        </w:rPr>
        <w:t>日上市。公司全部有效的员工持股计划所持有的股票总数累计未超过公司股本总额的</w:t>
      </w:r>
      <w:r w:rsidRPr="000C2E93">
        <w:rPr>
          <w:rFonts w:ascii="宋体" w:eastAsia="宋体" w:hAnsi="宋体" w:cs="宋体"/>
          <w:sz w:val="18"/>
          <w:szCs w:val="18"/>
        </w:rPr>
        <w:t>10%</w:t>
      </w:r>
      <w:r w:rsidRPr="000C2E93">
        <w:rPr>
          <w:rFonts w:ascii="宋体" w:eastAsia="宋体" w:hAnsi="宋体" w:cs="宋体" w:hint="eastAsia"/>
          <w:sz w:val="18"/>
          <w:szCs w:val="18"/>
        </w:rPr>
        <w:t>，单个员工所获股份权益对应的股票总数累计未超过公司股本总额的</w:t>
      </w:r>
      <w:r w:rsidRPr="000C2E93">
        <w:rPr>
          <w:rFonts w:ascii="宋体" w:eastAsia="宋体" w:hAnsi="宋体" w:cs="宋体"/>
          <w:sz w:val="18"/>
          <w:szCs w:val="18"/>
        </w:rPr>
        <w:t>1%</w:t>
      </w:r>
      <w:r w:rsidRPr="000C2E93">
        <w:rPr>
          <w:rFonts w:ascii="宋体" w:eastAsia="宋体" w:hAnsi="宋体" w:cs="宋体" w:hint="eastAsia"/>
          <w:sz w:val="18"/>
          <w:szCs w:val="18"/>
        </w:rPr>
        <w:t>。</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④本激励计划在</w:t>
      </w:r>
      <w:r w:rsidRPr="000C2E93">
        <w:rPr>
          <w:rFonts w:ascii="宋体" w:eastAsia="宋体" w:hAnsi="宋体" w:cs="宋体"/>
          <w:sz w:val="18"/>
          <w:szCs w:val="18"/>
        </w:rPr>
        <w:t>2022</w:t>
      </w:r>
      <w:r w:rsidRPr="000C2E93">
        <w:rPr>
          <w:rFonts w:ascii="宋体" w:eastAsia="宋体" w:hAnsi="宋体" w:cs="宋体" w:hint="eastAsia"/>
          <w:sz w:val="18"/>
          <w:szCs w:val="18"/>
        </w:rPr>
        <w:t>年</w:t>
      </w:r>
      <w:r w:rsidRPr="000C2E93">
        <w:rPr>
          <w:rFonts w:ascii="宋体" w:eastAsia="宋体" w:hAnsi="宋体" w:cs="宋体"/>
          <w:sz w:val="18"/>
          <w:szCs w:val="18"/>
        </w:rPr>
        <w:t>-2024</w:t>
      </w:r>
      <w:r w:rsidRPr="000C2E93">
        <w:rPr>
          <w:rFonts w:ascii="宋体" w:eastAsia="宋体" w:hAnsi="宋体" w:cs="宋体" w:hint="eastAsia"/>
          <w:sz w:val="18"/>
          <w:szCs w:val="18"/>
        </w:rPr>
        <w:t>年会计年度中，分年度对公司的业绩指标进行考核，以达到业绩考核目标作为</w:t>
      </w:r>
      <w:r w:rsidR="00B87081">
        <w:rPr>
          <w:rFonts w:ascii="宋体" w:eastAsia="宋体" w:hAnsi="宋体" w:cs="宋体" w:hint="eastAsia"/>
          <w:sz w:val="18"/>
          <w:szCs w:val="18"/>
        </w:rPr>
        <w:t>激励对象当年度的解除限售条件之一。本激励计划业绩考核目标如下：</w:t>
      </w:r>
    </w:p>
    <w:tbl>
      <w:tblPr>
        <w:tblW w:w="9629" w:type="dxa"/>
        <w:tblCellMar>
          <w:left w:w="0" w:type="dxa"/>
          <w:right w:w="0" w:type="dxa"/>
        </w:tblCellMar>
        <w:tblLook w:val="04A0" w:firstRow="1" w:lastRow="0" w:firstColumn="1" w:lastColumn="0" w:noHBand="0" w:noVBand="1"/>
      </w:tblPr>
      <w:tblGrid>
        <w:gridCol w:w="2039"/>
        <w:gridCol w:w="7590"/>
      </w:tblGrid>
      <w:tr w:rsidR="008D4B2E" w:rsidTr="00B87081">
        <w:trPr>
          <w:divId w:val="525408917"/>
          <w:trHeight w:val="356"/>
        </w:trPr>
        <w:tc>
          <w:tcPr>
            <w:tcW w:w="2039" w:type="dxa"/>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362F1D" w:rsidRDefault="008D4B2E" w:rsidP="00C75946">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lastRenderedPageBreak/>
              <w:t>解锁期</w:t>
            </w:r>
          </w:p>
        </w:tc>
        <w:tc>
          <w:tcPr>
            <w:tcW w:w="7590" w:type="dxa"/>
            <w:tcBorders>
              <w:top w:val="single" w:sz="8" w:space="0" w:color="auto"/>
              <w:left w:val="nil"/>
              <w:bottom w:val="single" w:sz="8" w:space="0" w:color="auto"/>
              <w:right w:val="single" w:sz="8" w:space="0" w:color="auto"/>
            </w:tcBorders>
            <w:shd w:val="clear" w:color="auto" w:fill="D3D3D3"/>
            <w:vAlign w:val="center"/>
            <w:hideMark/>
          </w:tcPr>
          <w:p w:rsidR="008D4B2E" w:rsidRPr="00362F1D" w:rsidRDefault="008D4B2E" w:rsidP="00C75946">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t>业绩考核目标</w:t>
            </w:r>
          </w:p>
        </w:tc>
      </w:tr>
      <w:tr w:rsidR="008D4B2E" w:rsidTr="00B87081">
        <w:trPr>
          <w:divId w:val="525408917"/>
          <w:trHeight w:val="403"/>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第一个解锁期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2022</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25.00%</w:t>
            </w:r>
          </w:p>
        </w:tc>
      </w:tr>
      <w:tr w:rsidR="008D4B2E" w:rsidTr="00B87081">
        <w:trPr>
          <w:divId w:val="525408917"/>
          <w:trHeight w:val="409"/>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第二个解锁期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2023</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75.00%</w:t>
            </w:r>
          </w:p>
        </w:tc>
      </w:tr>
      <w:tr w:rsidR="008D4B2E" w:rsidTr="00B87081">
        <w:trPr>
          <w:divId w:val="525408917"/>
          <w:trHeight w:val="401"/>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第三个解锁期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2021</w:t>
            </w:r>
            <w:r w:rsidRPr="000C2E93">
              <w:rPr>
                <w:rFonts w:ascii="宋体" w:eastAsia="宋体" w:hAnsi="宋体" w:cs="宋体" w:hint="eastAsia"/>
                <w:sz w:val="18"/>
                <w:szCs w:val="18"/>
              </w:rPr>
              <w:t>年的净利润为基数，</w:t>
            </w:r>
            <w:r w:rsidRPr="000C2E93">
              <w:rPr>
                <w:rFonts w:ascii="宋体" w:eastAsia="宋体" w:hAnsi="宋体" w:cs="宋体"/>
                <w:sz w:val="18"/>
                <w:szCs w:val="18"/>
              </w:rPr>
              <w:t>2024</w:t>
            </w:r>
            <w:r w:rsidRPr="000C2E93">
              <w:rPr>
                <w:rFonts w:ascii="宋体" w:eastAsia="宋体" w:hAnsi="宋体" w:cs="宋体" w:hint="eastAsia"/>
                <w:sz w:val="18"/>
                <w:szCs w:val="18"/>
              </w:rPr>
              <w:t>年净利润增长率不低于</w:t>
            </w:r>
            <w:r w:rsidRPr="000C2E93">
              <w:rPr>
                <w:rFonts w:ascii="宋体" w:eastAsia="宋体" w:hAnsi="宋体" w:cs="宋体"/>
                <w:sz w:val="18"/>
                <w:szCs w:val="18"/>
              </w:rPr>
              <w:t>125.00%</w:t>
            </w:r>
          </w:p>
        </w:tc>
      </w:tr>
    </w:tbl>
    <w:p w:rsidR="008D4B2E" w:rsidRDefault="008D4B2E">
      <w:pPr>
        <w:pStyle w:val="a3"/>
        <w:spacing w:before="0" w:beforeAutospacing="0" w:after="0" w:afterAutospacing="0" w:line="400" w:lineRule="atLeast"/>
        <w:ind w:firstLine="400"/>
        <w:jc w:val="both"/>
        <w:divId w:val="525408917"/>
        <w:rPr>
          <w:rFonts w:ascii="Arial" w:hAnsi="Arial" w:cs="Arial"/>
          <w:sz w:val="20"/>
          <w:szCs w:val="20"/>
        </w:rPr>
      </w:pPr>
      <w:r>
        <w:rPr>
          <w:rFonts w:cs="Arial" w:hint="eastAsia"/>
          <w:sz w:val="20"/>
          <w:szCs w:val="20"/>
        </w:rPr>
        <w:t>注：上述</w:t>
      </w:r>
      <w:r>
        <w:rPr>
          <w:rFonts w:ascii="Arial" w:hAnsi="Arial" w:cs="Arial"/>
          <w:sz w:val="20"/>
          <w:szCs w:val="20"/>
        </w:rPr>
        <w:t>“</w:t>
      </w:r>
      <w:r>
        <w:rPr>
          <w:rFonts w:cs="Arial" w:hint="eastAsia"/>
          <w:sz w:val="20"/>
          <w:szCs w:val="20"/>
        </w:rPr>
        <w:t>净利润</w:t>
      </w:r>
      <w:r>
        <w:rPr>
          <w:rFonts w:ascii="Arial" w:hAnsi="Arial" w:cs="Arial"/>
          <w:sz w:val="20"/>
          <w:szCs w:val="20"/>
        </w:rPr>
        <w:t>”</w:t>
      </w:r>
      <w:r>
        <w:rPr>
          <w:rFonts w:cs="Arial" w:hint="eastAsia"/>
          <w:sz w:val="20"/>
          <w:szCs w:val="20"/>
        </w:rPr>
        <w:t>指经审计的归属于母公司的净利润。</w:t>
      </w:r>
    </w:p>
    <w:p w:rsidR="008D4B2E" w:rsidRDefault="008D4B2E">
      <w:pPr>
        <w:pStyle w:val="a3"/>
        <w:spacing w:before="0" w:beforeAutospacing="0" w:after="0" w:afterAutospacing="0" w:line="400" w:lineRule="atLeast"/>
        <w:ind w:left="482"/>
        <w:jc w:val="both"/>
        <w:divId w:val="525408917"/>
        <w:rPr>
          <w:rFonts w:ascii="Arial" w:hAnsi="Arial" w:cs="Arial"/>
          <w:sz w:val="20"/>
          <w:szCs w:val="20"/>
        </w:rPr>
      </w:pPr>
      <w:r>
        <w:rPr>
          <w:rStyle w:val="a4"/>
          <w:rFonts w:cs="Arial" w:hint="eastAsia"/>
          <w:sz w:val="20"/>
          <w:szCs w:val="20"/>
        </w:rPr>
        <w:t>（</w:t>
      </w:r>
      <w:r>
        <w:rPr>
          <w:rStyle w:val="a4"/>
          <w:rFonts w:ascii="Arial" w:hAnsi="Arial" w:cs="Arial"/>
          <w:sz w:val="20"/>
          <w:szCs w:val="20"/>
        </w:rPr>
        <w:t>5</w:t>
      </w:r>
      <w:r>
        <w:rPr>
          <w:rStyle w:val="a4"/>
          <w:rFonts w:cs="Arial" w:hint="eastAsia"/>
          <w:sz w:val="20"/>
          <w:szCs w:val="20"/>
        </w:rPr>
        <w:t>）</w:t>
      </w:r>
      <w:r>
        <w:rPr>
          <w:rStyle w:val="a4"/>
          <w:rFonts w:ascii="Arial" w:hAnsi="Arial" w:cs="Arial"/>
          <w:sz w:val="20"/>
          <w:szCs w:val="20"/>
        </w:rPr>
        <w:t>2023</w:t>
      </w:r>
      <w:r>
        <w:rPr>
          <w:rStyle w:val="a4"/>
          <w:rFonts w:cs="Arial" w:hint="eastAsia"/>
          <w:sz w:val="20"/>
          <w:szCs w:val="20"/>
        </w:rPr>
        <w:t>年期</w:t>
      </w:r>
      <w:r>
        <w:rPr>
          <w:rStyle w:val="a4"/>
          <w:rFonts w:ascii="Arial" w:hAnsi="Arial" w:cs="Arial"/>
          <w:sz w:val="20"/>
          <w:szCs w:val="20"/>
        </w:rPr>
        <w:t xml:space="preserve"> </w:t>
      </w:r>
    </w:p>
    <w:tbl>
      <w:tblPr>
        <w:tblW w:w="9629" w:type="dxa"/>
        <w:tblCellMar>
          <w:left w:w="0" w:type="dxa"/>
          <w:right w:w="0" w:type="dxa"/>
        </w:tblCellMar>
        <w:tblLook w:val="04A0" w:firstRow="1" w:lastRow="0" w:firstColumn="1" w:lastColumn="0" w:noHBand="0" w:noVBand="1"/>
      </w:tblPr>
      <w:tblGrid>
        <w:gridCol w:w="4077"/>
        <w:gridCol w:w="5552"/>
      </w:tblGrid>
      <w:tr w:rsidR="008D4B2E" w:rsidTr="00B87081">
        <w:trPr>
          <w:divId w:val="525408917"/>
          <w:trHeight w:val="380"/>
          <w:tblHeader/>
        </w:trPr>
        <w:tc>
          <w:tcPr>
            <w:tcW w:w="4077" w:type="dxa"/>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项目</w:t>
            </w:r>
          </w:p>
        </w:tc>
        <w:tc>
          <w:tcPr>
            <w:tcW w:w="5552"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0C2E93" w:rsidRDefault="008D4B2E" w:rsidP="000C2E93">
            <w:pPr>
              <w:spacing w:line="240" w:lineRule="exact"/>
              <w:jc w:val="center"/>
              <w:rPr>
                <w:rFonts w:ascii="宋体" w:eastAsia="宋体" w:hAnsi="宋体" w:cs="宋体"/>
                <w:sz w:val="18"/>
                <w:szCs w:val="18"/>
              </w:rPr>
            </w:pPr>
            <w:r w:rsidRPr="000C2E93">
              <w:rPr>
                <w:rFonts w:ascii="宋体" w:eastAsia="宋体" w:hAnsi="宋体" w:cs="宋体" w:hint="eastAsia"/>
                <w:sz w:val="18"/>
                <w:szCs w:val="18"/>
              </w:rPr>
              <w:t>相关内容</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公司本期授予的各项权益工具总额</w:t>
            </w:r>
            <w:r w:rsidR="00C75946">
              <w:rPr>
                <w:rFonts w:ascii="宋体" w:eastAsia="宋体" w:hAnsi="宋体" w:cs="宋体" w:hint="eastAsia"/>
                <w:sz w:val="18"/>
                <w:szCs w:val="18"/>
              </w:rPr>
              <w:t>（元）</w:t>
            </w:r>
          </w:p>
        </w:tc>
        <w:tc>
          <w:tcPr>
            <w:tcW w:w="5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jc w:val="right"/>
              <w:rPr>
                <w:rFonts w:ascii="宋体" w:eastAsia="宋体" w:hAnsi="宋体" w:cs="宋体"/>
                <w:sz w:val="18"/>
                <w:szCs w:val="18"/>
              </w:rPr>
            </w:pPr>
            <w:r w:rsidRPr="000C2E93">
              <w:rPr>
                <w:rFonts w:ascii="宋体" w:eastAsia="宋体" w:hAnsi="宋体" w:cs="宋体"/>
                <w:sz w:val="18"/>
                <w:szCs w:val="18"/>
              </w:rPr>
              <w:t>150,000,000.00</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公司本期行权的各项权益工具总额</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36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公司本期失效的各项权益工具总额</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510"/>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公司期末发行在外的股份期权行权价格的范围和合同剩余期限</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sz w:val="18"/>
                <w:szCs w:val="18"/>
              </w:rPr>
              <w:t> </w:t>
            </w:r>
          </w:p>
        </w:tc>
      </w:tr>
      <w:tr w:rsidR="008D4B2E" w:rsidTr="00B87081">
        <w:trPr>
          <w:divId w:val="525408917"/>
          <w:trHeight w:val="495"/>
        </w:trPr>
        <w:tc>
          <w:tcPr>
            <w:tcW w:w="4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公司期末其他权益工具行权价格的范围和合同剩余期限</w:t>
            </w:r>
          </w:p>
        </w:tc>
        <w:tc>
          <w:tcPr>
            <w:tcW w:w="5552" w:type="dxa"/>
            <w:tcBorders>
              <w:top w:val="nil"/>
              <w:left w:val="nil"/>
              <w:bottom w:val="single" w:sz="8" w:space="0" w:color="auto"/>
              <w:right w:val="single" w:sz="8" w:space="0" w:color="auto"/>
            </w:tcBorders>
            <w:tcMar>
              <w:top w:w="0" w:type="dxa"/>
              <w:left w:w="108" w:type="dxa"/>
              <w:bottom w:w="0" w:type="dxa"/>
              <w:right w:w="108" w:type="dxa"/>
            </w:tcMa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授予价格为</w:t>
            </w:r>
            <w:r w:rsidRPr="000C2E93">
              <w:rPr>
                <w:rFonts w:ascii="宋体" w:eastAsia="宋体" w:hAnsi="宋体" w:cs="宋体"/>
                <w:sz w:val="18"/>
                <w:szCs w:val="18"/>
              </w:rPr>
              <w:t>4.00</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股；限制性股票激励计划的有效期为自限制性股票授予之日起至激励</w:t>
            </w:r>
            <w:proofErr w:type="gramStart"/>
            <w:r w:rsidRPr="000C2E93">
              <w:rPr>
                <w:rFonts w:ascii="宋体" w:eastAsia="宋体" w:hAnsi="宋体" w:cs="宋体" w:hint="eastAsia"/>
                <w:sz w:val="18"/>
                <w:szCs w:val="18"/>
              </w:rPr>
              <w:t>对象获</w:t>
            </w:r>
            <w:proofErr w:type="gramEnd"/>
            <w:r w:rsidRPr="000C2E93">
              <w:rPr>
                <w:rFonts w:ascii="宋体" w:eastAsia="宋体" w:hAnsi="宋体" w:cs="宋体" w:hint="eastAsia"/>
                <w:sz w:val="18"/>
                <w:szCs w:val="18"/>
              </w:rPr>
              <w:t>授的限制性股票全部解除限售或回购注销完毕之日止，最长不超过</w:t>
            </w:r>
            <w:r w:rsidRPr="000C2E93">
              <w:rPr>
                <w:rFonts w:ascii="宋体" w:eastAsia="宋体" w:hAnsi="宋体" w:cs="宋体"/>
                <w:sz w:val="18"/>
                <w:szCs w:val="18"/>
              </w:rPr>
              <w:t>48</w:t>
            </w:r>
            <w:r w:rsidRPr="000C2E93">
              <w:rPr>
                <w:rFonts w:ascii="宋体" w:eastAsia="宋体" w:hAnsi="宋体" w:cs="宋体" w:hint="eastAsia"/>
                <w:sz w:val="18"/>
                <w:szCs w:val="18"/>
              </w:rPr>
              <w:t>个月。</w:t>
            </w:r>
          </w:p>
        </w:tc>
      </w:tr>
    </w:tbl>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公司于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15</w:t>
      </w:r>
      <w:r w:rsidRPr="000C2E93">
        <w:rPr>
          <w:rFonts w:ascii="宋体" w:eastAsia="宋体" w:hAnsi="宋体" w:cs="宋体" w:hint="eastAsia"/>
          <w:sz w:val="18"/>
          <w:szCs w:val="18"/>
        </w:rPr>
        <w:t>日召开</w:t>
      </w:r>
      <w:r w:rsidRPr="000C2E93">
        <w:rPr>
          <w:rFonts w:ascii="宋体" w:eastAsia="宋体" w:hAnsi="宋体" w:cs="宋体"/>
          <w:sz w:val="18"/>
          <w:szCs w:val="18"/>
        </w:rPr>
        <w:t>2023</w:t>
      </w:r>
      <w:r w:rsidRPr="000C2E93">
        <w:rPr>
          <w:rFonts w:ascii="宋体" w:eastAsia="宋体" w:hAnsi="宋体" w:cs="宋体" w:hint="eastAsia"/>
          <w:sz w:val="18"/>
          <w:szCs w:val="18"/>
        </w:rPr>
        <w:t>年第一次临时股东大会审议通过了《关于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2023</w:t>
      </w:r>
      <w:r w:rsidRPr="000C2E93">
        <w:rPr>
          <w:rFonts w:ascii="宋体" w:eastAsia="宋体" w:hAnsi="宋体" w:cs="宋体" w:hint="eastAsia"/>
          <w:sz w:val="18"/>
          <w:szCs w:val="18"/>
        </w:rPr>
        <w:t>年限制性股票激励计划（草案）</w:t>
      </w:r>
      <w:r w:rsidRPr="000C2E93">
        <w:rPr>
          <w:rFonts w:ascii="宋体" w:eastAsia="宋体" w:hAnsi="宋体" w:cs="宋体"/>
          <w:sz w:val="18"/>
          <w:szCs w:val="18"/>
        </w:rPr>
        <w:t>〉</w:t>
      </w:r>
      <w:r w:rsidRPr="000C2E93">
        <w:rPr>
          <w:rFonts w:ascii="宋体" w:eastAsia="宋体" w:hAnsi="宋体" w:cs="宋体" w:hint="eastAsia"/>
          <w:sz w:val="18"/>
          <w:szCs w:val="18"/>
        </w:rPr>
        <w:t>及其摘要的议案》、《关于</w:t>
      </w:r>
      <w:r w:rsidRPr="000C2E93">
        <w:rPr>
          <w:rFonts w:ascii="宋体" w:eastAsia="宋体" w:hAnsi="宋体" w:cs="宋体"/>
          <w:sz w:val="18"/>
          <w:szCs w:val="18"/>
        </w:rPr>
        <w:t>〈</w:t>
      </w:r>
      <w:r w:rsidRPr="000C2E93">
        <w:rPr>
          <w:rFonts w:ascii="宋体" w:eastAsia="宋体" w:hAnsi="宋体" w:cs="宋体" w:hint="eastAsia"/>
          <w:sz w:val="18"/>
          <w:szCs w:val="18"/>
        </w:rPr>
        <w:t>软控股份有限公司</w:t>
      </w:r>
      <w:r w:rsidRPr="000C2E93">
        <w:rPr>
          <w:rFonts w:ascii="宋体" w:eastAsia="宋体" w:hAnsi="宋体" w:cs="宋体"/>
          <w:sz w:val="18"/>
          <w:szCs w:val="18"/>
        </w:rPr>
        <w:t>2023</w:t>
      </w:r>
      <w:r w:rsidRPr="000C2E93">
        <w:rPr>
          <w:rFonts w:ascii="宋体" w:eastAsia="宋体" w:hAnsi="宋体" w:cs="宋体" w:hint="eastAsia"/>
          <w:sz w:val="18"/>
          <w:szCs w:val="18"/>
        </w:rPr>
        <w:t>年限制性股票激励计划实施考核管理办法</w:t>
      </w:r>
      <w:r w:rsidRPr="000C2E93">
        <w:rPr>
          <w:rFonts w:ascii="宋体" w:eastAsia="宋体" w:hAnsi="宋体" w:cs="宋体"/>
          <w:sz w:val="18"/>
          <w:szCs w:val="18"/>
        </w:rPr>
        <w:t>〉</w:t>
      </w:r>
      <w:r w:rsidRPr="000C2E93">
        <w:rPr>
          <w:rFonts w:ascii="宋体" w:eastAsia="宋体" w:hAnsi="宋体" w:cs="宋体" w:hint="eastAsia"/>
          <w:sz w:val="18"/>
          <w:szCs w:val="18"/>
        </w:rPr>
        <w:t>的议案》、《关于提请股东大会授权董事会办理股权激励相关事宜的议案》等与本次激励计划相关的议案。</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28</w:t>
      </w:r>
      <w:r w:rsidRPr="000C2E93">
        <w:rPr>
          <w:rFonts w:ascii="宋体" w:eastAsia="宋体" w:hAnsi="宋体" w:cs="宋体" w:hint="eastAsia"/>
          <w:sz w:val="18"/>
          <w:szCs w:val="18"/>
        </w:rPr>
        <w:t>日召开第八届董事会第十一次会议、第八届监事会第十三次会议，审议通过了《关于向激励对象授予限制性股票的议案》，确定向符合激励计划的激励对象授予总计</w:t>
      </w:r>
      <w:bookmarkStart w:id="400" w:name="_Hlk162166911"/>
      <w:bookmarkEnd w:id="400"/>
      <w:r w:rsidRPr="000C2E93">
        <w:rPr>
          <w:rFonts w:ascii="宋体" w:eastAsia="宋体" w:hAnsi="宋体" w:cs="宋体"/>
          <w:sz w:val="18"/>
          <w:szCs w:val="18"/>
        </w:rPr>
        <w:t>3,750.00</w:t>
      </w:r>
      <w:r w:rsidRPr="000C2E93">
        <w:rPr>
          <w:rFonts w:ascii="宋体" w:eastAsia="宋体" w:hAnsi="宋体" w:cs="宋体" w:hint="eastAsia"/>
          <w:sz w:val="18"/>
          <w:szCs w:val="18"/>
        </w:rPr>
        <w:t>万份权益。其中，确定对官</w:t>
      </w:r>
      <w:proofErr w:type="gramStart"/>
      <w:r w:rsidRPr="000C2E93">
        <w:rPr>
          <w:rFonts w:ascii="宋体" w:eastAsia="宋体" w:hAnsi="宋体" w:cs="宋体" w:hint="eastAsia"/>
          <w:sz w:val="18"/>
          <w:szCs w:val="18"/>
        </w:rPr>
        <w:t>炳</w:t>
      </w:r>
      <w:proofErr w:type="gramEnd"/>
      <w:r w:rsidRPr="000C2E93">
        <w:rPr>
          <w:rFonts w:ascii="宋体" w:eastAsia="宋体" w:hAnsi="宋体" w:cs="宋体" w:hint="eastAsia"/>
          <w:sz w:val="18"/>
          <w:szCs w:val="18"/>
        </w:rPr>
        <w:t>政、张垚、杨慧丽等</w:t>
      </w:r>
      <w:r w:rsidRPr="000C2E93">
        <w:rPr>
          <w:rFonts w:ascii="宋体" w:eastAsia="宋体" w:hAnsi="宋体" w:cs="宋体"/>
          <w:sz w:val="18"/>
          <w:szCs w:val="18"/>
        </w:rPr>
        <w:t>51</w:t>
      </w:r>
      <w:r w:rsidRPr="000C2E93">
        <w:rPr>
          <w:rFonts w:ascii="宋体" w:eastAsia="宋体" w:hAnsi="宋体" w:cs="宋体" w:hint="eastAsia"/>
          <w:sz w:val="18"/>
          <w:szCs w:val="18"/>
        </w:rPr>
        <w:t>名参加对象授予</w:t>
      </w:r>
      <w:r w:rsidRPr="000C2E93">
        <w:rPr>
          <w:rFonts w:ascii="宋体" w:eastAsia="宋体" w:hAnsi="宋体" w:cs="宋体"/>
          <w:sz w:val="18"/>
          <w:szCs w:val="18"/>
        </w:rPr>
        <w:t>3,750</w:t>
      </w:r>
      <w:r w:rsidRPr="000C2E93">
        <w:rPr>
          <w:rFonts w:ascii="宋体" w:eastAsia="宋体" w:hAnsi="宋体" w:cs="宋体" w:hint="eastAsia"/>
          <w:sz w:val="18"/>
          <w:szCs w:val="18"/>
        </w:rPr>
        <w:t>万股限制性股票，本次实际</w:t>
      </w:r>
      <w:r w:rsidRPr="000C2E93">
        <w:rPr>
          <w:rFonts w:ascii="宋体" w:eastAsia="宋体" w:hAnsi="宋体" w:cs="宋体"/>
          <w:sz w:val="18"/>
          <w:szCs w:val="18"/>
        </w:rPr>
        <w:t>51</w:t>
      </w:r>
      <w:r w:rsidRPr="000C2E93">
        <w:rPr>
          <w:rFonts w:ascii="宋体" w:eastAsia="宋体" w:hAnsi="宋体" w:cs="宋体" w:hint="eastAsia"/>
          <w:sz w:val="18"/>
          <w:szCs w:val="18"/>
        </w:rPr>
        <w:t>名参加对象认购</w:t>
      </w:r>
      <w:r w:rsidRPr="000C2E93">
        <w:rPr>
          <w:rFonts w:ascii="宋体" w:eastAsia="宋体" w:hAnsi="宋体" w:cs="宋体"/>
          <w:sz w:val="18"/>
          <w:szCs w:val="18"/>
        </w:rPr>
        <w:t>37,500,000</w:t>
      </w:r>
      <w:r w:rsidRPr="000C2E93">
        <w:rPr>
          <w:rFonts w:ascii="宋体" w:eastAsia="宋体" w:hAnsi="宋体" w:cs="宋体" w:hint="eastAsia"/>
          <w:sz w:val="18"/>
          <w:szCs w:val="18"/>
        </w:rPr>
        <w:t>股限制性股票，股票面值</w:t>
      </w:r>
      <w:r w:rsidRPr="000C2E93">
        <w:rPr>
          <w:rFonts w:ascii="宋体" w:eastAsia="宋体" w:hAnsi="宋体" w:cs="宋体"/>
          <w:sz w:val="18"/>
          <w:szCs w:val="18"/>
        </w:rPr>
        <w:t>1</w:t>
      </w:r>
      <w:r w:rsidRPr="000C2E93">
        <w:rPr>
          <w:rFonts w:ascii="宋体" w:eastAsia="宋体" w:hAnsi="宋体" w:cs="宋体" w:hint="eastAsia"/>
          <w:sz w:val="18"/>
          <w:szCs w:val="18"/>
        </w:rPr>
        <w:t>元，认购价格为</w:t>
      </w:r>
      <w:r w:rsidRPr="000C2E93">
        <w:rPr>
          <w:rFonts w:ascii="宋体" w:eastAsia="宋体" w:hAnsi="宋体" w:cs="宋体"/>
          <w:sz w:val="18"/>
          <w:szCs w:val="18"/>
        </w:rPr>
        <w:t>4.00</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w:t>
      </w:r>
    </w:p>
    <w:p w:rsidR="008D4B2E" w:rsidRPr="000C2E93" w:rsidRDefault="008D4B2E" w:rsidP="00B87081">
      <w:pPr>
        <w:ind w:firstLineChars="200" w:firstLine="360"/>
        <w:divId w:val="525408917"/>
        <w:rPr>
          <w:rFonts w:ascii="宋体" w:eastAsia="宋体" w:hAnsi="宋体" w:cs="宋体"/>
          <w:sz w:val="18"/>
          <w:szCs w:val="18"/>
        </w:rPr>
      </w:pP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持股计划通过向激励对象定向发行的公司人民币</w:t>
      </w:r>
      <w:r w:rsidRPr="000C2E93">
        <w:rPr>
          <w:rFonts w:ascii="宋体" w:eastAsia="宋体" w:hAnsi="宋体" w:cs="宋体"/>
          <w:sz w:val="18"/>
          <w:szCs w:val="18"/>
        </w:rPr>
        <w:t>A</w:t>
      </w:r>
      <w:r w:rsidRPr="000C2E93">
        <w:rPr>
          <w:rFonts w:ascii="宋体" w:eastAsia="宋体" w:hAnsi="宋体" w:cs="宋体" w:hint="eastAsia"/>
          <w:sz w:val="18"/>
          <w:szCs w:val="18"/>
        </w:rPr>
        <w:t>股普通股股票，分两期解锁，解锁时点分别为自公司公告最后一笔标的股票过户至</w:t>
      </w:r>
      <w:proofErr w:type="gramStart"/>
      <w:r w:rsidRPr="000C2E93">
        <w:rPr>
          <w:rFonts w:ascii="宋体" w:eastAsia="宋体" w:hAnsi="宋体" w:cs="宋体" w:hint="eastAsia"/>
          <w:sz w:val="18"/>
          <w:szCs w:val="18"/>
        </w:rPr>
        <w:t>本期员工</w:t>
      </w:r>
      <w:proofErr w:type="gramEnd"/>
      <w:r w:rsidRPr="000C2E93">
        <w:rPr>
          <w:rFonts w:ascii="宋体" w:eastAsia="宋体" w:hAnsi="宋体" w:cs="宋体" w:hint="eastAsia"/>
          <w:sz w:val="18"/>
          <w:szCs w:val="18"/>
        </w:rPr>
        <w:t>持股计划名下之日起满</w:t>
      </w:r>
      <w:r w:rsidRPr="000C2E93">
        <w:rPr>
          <w:rFonts w:ascii="宋体" w:eastAsia="宋体" w:hAnsi="宋体" w:cs="宋体"/>
          <w:sz w:val="18"/>
          <w:szCs w:val="18"/>
        </w:rPr>
        <w:t>12</w:t>
      </w:r>
      <w:r w:rsidRPr="000C2E93">
        <w:rPr>
          <w:rFonts w:ascii="宋体" w:eastAsia="宋体" w:hAnsi="宋体" w:cs="宋体" w:hint="eastAsia"/>
          <w:sz w:val="18"/>
          <w:szCs w:val="18"/>
        </w:rPr>
        <w:t>个月、</w:t>
      </w:r>
      <w:r w:rsidRPr="000C2E93">
        <w:rPr>
          <w:rFonts w:ascii="宋体" w:eastAsia="宋体" w:hAnsi="宋体" w:cs="宋体"/>
          <w:sz w:val="18"/>
          <w:szCs w:val="18"/>
        </w:rPr>
        <w:t>24</w:t>
      </w:r>
      <w:r w:rsidRPr="000C2E93">
        <w:rPr>
          <w:rFonts w:ascii="宋体" w:eastAsia="宋体" w:hAnsi="宋体" w:cs="宋体" w:hint="eastAsia"/>
          <w:sz w:val="18"/>
          <w:szCs w:val="18"/>
        </w:rPr>
        <w:t>个月，最长锁定期为</w:t>
      </w:r>
      <w:r w:rsidRPr="000C2E93">
        <w:rPr>
          <w:rFonts w:ascii="宋体" w:eastAsia="宋体" w:hAnsi="宋体" w:cs="宋体"/>
          <w:sz w:val="18"/>
          <w:szCs w:val="18"/>
        </w:rPr>
        <w:t>24</w:t>
      </w:r>
      <w:r w:rsidRPr="000C2E93">
        <w:rPr>
          <w:rFonts w:ascii="宋体" w:eastAsia="宋体" w:hAnsi="宋体" w:cs="宋体" w:hint="eastAsia"/>
          <w:sz w:val="18"/>
          <w:szCs w:val="18"/>
        </w:rPr>
        <w:t>个月，每期解锁的标的股票比例分别为</w:t>
      </w:r>
      <w:r w:rsidRPr="000C2E93">
        <w:rPr>
          <w:rFonts w:ascii="宋体" w:eastAsia="宋体" w:hAnsi="宋体" w:cs="宋体"/>
          <w:sz w:val="18"/>
          <w:szCs w:val="18"/>
        </w:rPr>
        <w:t>50%</w:t>
      </w:r>
      <w:r w:rsidRPr="000C2E93">
        <w:rPr>
          <w:rFonts w:ascii="宋体" w:eastAsia="宋体" w:hAnsi="宋体" w:cs="宋体" w:hint="eastAsia"/>
          <w:sz w:val="18"/>
          <w:szCs w:val="18"/>
        </w:rPr>
        <w:t>、</w:t>
      </w:r>
      <w:r w:rsidRPr="000C2E93">
        <w:rPr>
          <w:rFonts w:ascii="宋体" w:eastAsia="宋体" w:hAnsi="宋体" w:cs="宋体"/>
          <w:sz w:val="18"/>
          <w:szCs w:val="18"/>
        </w:rPr>
        <w:t>50%</w:t>
      </w:r>
      <w:r w:rsidRPr="000C2E93">
        <w:rPr>
          <w:rFonts w:ascii="宋体" w:eastAsia="宋体" w:hAnsi="宋体" w:cs="宋体" w:hint="eastAsia"/>
          <w:sz w:val="18"/>
          <w:szCs w:val="18"/>
        </w:rPr>
        <w:t>，各年度具体解锁比例和数量根据公司业绩指标和持有人考核结果计算确定。</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28</w:t>
      </w:r>
      <w:r w:rsidRPr="000C2E93">
        <w:rPr>
          <w:rFonts w:ascii="宋体" w:eastAsia="宋体" w:hAnsi="宋体" w:cs="宋体" w:hint="eastAsia"/>
          <w:sz w:val="18"/>
          <w:szCs w:val="18"/>
        </w:rPr>
        <w:t>日，公司完成了</w:t>
      </w:r>
      <w:r w:rsidRPr="000C2E93">
        <w:rPr>
          <w:rFonts w:ascii="宋体" w:eastAsia="宋体" w:hAnsi="宋体" w:cs="宋体"/>
          <w:sz w:val="18"/>
          <w:szCs w:val="18"/>
        </w:rPr>
        <w:t>2023</w:t>
      </w:r>
      <w:r w:rsidRPr="000C2E93">
        <w:rPr>
          <w:rFonts w:ascii="宋体" w:eastAsia="宋体" w:hAnsi="宋体" w:cs="宋体" w:hint="eastAsia"/>
          <w:sz w:val="18"/>
          <w:szCs w:val="18"/>
        </w:rPr>
        <w:t>年限制性股票激励计划限制性股票的授予登记工作，向</w:t>
      </w:r>
      <w:r w:rsidRPr="000C2E93">
        <w:rPr>
          <w:rFonts w:ascii="宋体" w:eastAsia="宋体" w:hAnsi="宋体" w:cs="宋体"/>
          <w:sz w:val="18"/>
          <w:szCs w:val="18"/>
        </w:rPr>
        <w:t>51</w:t>
      </w:r>
      <w:r w:rsidRPr="000C2E93">
        <w:rPr>
          <w:rFonts w:ascii="宋体" w:eastAsia="宋体" w:hAnsi="宋体" w:cs="宋体" w:hint="eastAsia"/>
          <w:sz w:val="18"/>
          <w:szCs w:val="18"/>
        </w:rPr>
        <w:t>名激励对象授予</w:t>
      </w:r>
      <w:r w:rsidRPr="000C2E93">
        <w:rPr>
          <w:rFonts w:ascii="宋体" w:eastAsia="宋体" w:hAnsi="宋体" w:cs="宋体"/>
          <w:sz w:val="18"/>
          <w:szCs w:val="18"/>
        </w:rPr>
        <w:t>3,750.00</w:t>
      </w:r>
      <w:r w:rsidRPr="000C2E93">
        <w:rPr>
          <w:rFonts w:ascii="宋体" w:eastAsia="宋体" w:hAnsi="宋体" w:cs="宋体" w:hint="eastAsia"/>
          <w:sz w:val="18"/>
          <w:szCs w:val="18"/>
        </w:rPr>
        <w:t>万份限制性股票，授予价格为</w:t>
      </w:r>
      <w:r w:rsidRPr="000C2E93">
        <w:rPr>
          <w:rFonts w:ascii="宋体" w:eastAsia="宋体" w:hAnsi="宋体" w:cs="宋体"/>
          <w:sz w:val="18"/>
          <w:szCs w:val="18"/>
        </w:rPr>
        <w:t>4.00</w:t>
      </w:r>
      <w:r w:rsidRPr="000C2E93">
        <w:rPr>
          <w:rFonts w:ascii="宋体" w:eastAsia="宋体" w:hAnsi="宋体" w:cs="宋体" w:hint="eastAsia"/>
          <w:sz w:val="18"/>
          <w:szCs w:val="18"/>
        </w:rPr>
        <w:t>元</w:t>
      </w:r>
      <w:r w:rsidRPr="000C2E93">
        <w:rPr>
          <w:rFonts w:ascii="宋体" w:eastAsia="宋体" w:hAnsi="宋体" w:cs="宋体"/>
          <w:sz w:val="18"/>
          <w:szCs w:val="18"/>
        </w:rPr>
        <w:t>/</w:t>
      </w:r>
      <w:r w:rsidRPr="000C2E93">
        <w:rPr>
          <w:rFonts w:ascii="宋体" w:eastAsia="宋体" w:hAnsi="宋体" w:cs="宋体" w:hint="eastAsia"/>
          <w:sz w:val="18"/>
          <w:szCs w:val="18"/>
        </w:rPr>
        <w:t>股，授予的限制性股票于</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8</w:t>
      </w:r>
      <w:r w:rsidRPr="000C2E93">
        <w:rPr>
          <w:rFonts w:ascii="宋体" w:eastAsia="宋体" w:hAnsi="宋体" w:cs="宋体" w:hint="eastAsia"/>
          <w:sz w:val="18"/>
          <w:szCs w:val="18"/>
        </w:rPr>
        <w:t>月</w:t>
      </w:r>
      <w:r w:rsidRPr="000C2E93">
        <w:rPr>
          <w:rFonts w:ascii="宋体" w:eastAsia="宋体" w:hAnsi="宋体" w:cs="宋体"/>
          <w:sz w:val="18"/>
          <w:szCs w:val="18"/>
        </w:rPr>
        <w:t>28</w:t>
      </w:r>
      <w:r w:rsidRPr="000C2E93">
        <w:rPr>
          <w:rFonts w:ascii="宋体" w:eastAsia="宋体" w:hAnsi="宋体" w:cs="宋体" w:hint="eastAsia"/>
          <w:sz w:val="18"/>
          <w:szCs w:val="18"/>
        </w:rPr>
        <w:t>日上市。公司全部有效的员工持股计划所持有的股票总数累计未超过公司股本总额的</w:t>
      </w:r>
      <w:r w:rsidRPr="000C2E93">
        <w:rPr>
          <w:rFonts w:ascii="宋体" w:eastAsia="宋体" w:hAnsi="宋体" w:cs="宋体"/>
          <w:sz w:val="18"/>
          <w:szCs w:val="18"/>
        </w:rPr>
        <w:t>10%</w:t>
      </w:r>
      <w:r w:rsidRPr="000C2E93">
        <w:rPr>
          <w:rFonts w:ascii="宋体" w:eastAsia="宋体" w:hAnsi="宋体" w:cs="宋体" w:hint="eastAsia"/>
          <w:sz w:val="18"/>
          <w:szCs w:val="18"/>
        </w:rPr>
        <w:t>，单个员工所获股份权益对应的股票总数累计未超过公司股本总额的</w:t>
      </w:r>
      <w:r w:rsidRPr="000C2E93">
        <w:rPr>
          <w:rFonts w:ascii="宋体" w:eastAsia="宋体" w:hAnsi="宋体" w:cs="宋体"/>
          <w:sz w:val="18"/>
          <w:szCs w:val="18"/>
        </w:rPr>
        <w:t>1%</w:t>
      </w:r>
      <w:r w:rsidRPr="000C2E93">
        <w:rPr>
          <w:rFonts w:ascii="宋体" w:eastAsia="宋体" w:hAnsi="宋体" w:cs="宋体" w:hint="eastAsia"/>
          <w:sz w:val="18"/>
          <w:szCs w:val="18"/>
        </w:rPr>
        <w:t>。</w:t>
      </w:r>
    </w:p>
    <w:p w:rsidR="008D4B2E" w:rsidRPr="000C2E93" w:rsidRDefault="008D4B2E" w:rsidP="00B87081">
      <w:pPr>
        <w:ind w:firstLineChars="200" w:firstLine="360"/>
        <w:divId w:val="525408917"/>
        <w:rPr>
          <w:rFonts w:ascii="宋体" w:eastAsia="宋体" w:hAnsi="宋体" w:cs="宋体"/>
          <w:sz w:val="18"/>
          <w:szCs w:val="18"/>
        </w:rPr>
      </w:pPr>
      <w:r w:rsidRPr="000C2E93">
        <w:rPr>
          <w:rFonts w:ascii="宋体" w:eastAsia="宋体" w:hAnsi="宋体" w:cs="宋体" w:hint="eastAsia"/>
          <w:sz w:val="18"/>
          <w:szCs w:val="18"/>
        </w:rPr>
        <w:t>本激励计划在</w:t>
      </w:r>
      <w:r w:rsidRPr="000C2E93">
        <w:rPr>
          <w:rFonts w:ascii="宋体" w:eastAsia="宋体" w:hAnsi="宋体" w:cs="宋体"/>
          <w:sz w:val="18"/>
          <w:szCs w:val="18"/>
        </w:rPr>
        <w:t>2023</w:t>
      </w:r>
      <w:r w:rsidRPr="000C2E93">
        <w:rPr>
          <w:rFonts w:ascii="宋体" w:eastAsia="宋体" w:hAnsi="宋体" w:cs="宋体" w:hint="eastAsia"/>
          <w:sz w:val="18"/>
          <w:szCs w:val="18"/>
        </w:rPr>
        <w:t>年</w:t>
      </w:r>
      <w:r w:rsidRPr="000C2E93">
        <w:rPr>
          <w:rFonts w:ascii="宋体" w:eastAsia="宋体" w:hAnsi="宋体" w:cs="宋体"/>
          <w:sz w:val="18"/>
          <w:szCs w:val="18"/>
        </w:rPr>
        <w:t>-2024</w:t>
      </w:r>
      <w:r w:rsidRPr="000C2E93">
        <w:rPr>
          <w:rFonts w:ascii="宋体" w:eastAsia="宋体" w:hAnsi="宋体" w:cs="宋体" w:hint="eastAsia"/>
          <w:sz w:val="18"/>
          <w:szCs w:val="18"/>
        </w:rPr>
        <w:t>年会计年度中，分年度对公司的业绩指标进行考核，以达到业绩考核目标作为激励对象当年度的解除限售条件之一。本激励计划业绩考核目标如下：</w:t>
      </w:r>
    </w:p>
    <w:tbl>
      <w:tblPr>
        <w:tblW w:w="9629" w:type="dxa"/>
        <w:tblCellMar>
          <w:left w:w="0" w:type="dxa"/>
          <w:right w:w="0" w:type="dxa"/>
        </w:tblCellMar>
        <w:tblLook w:val="04A0" w:firstRow="1" w:lastRow="0" w:firstColumn="1" w:lastColumn="0" w:noHBand="0" w:noVBand="1"/>
      </w:tblPr>
      <w:tblGrid>
        <w:gridCol w:w="2039"/>
        <w:gridCol w:w="7590"/>
      </w:tblGrid>
      <w:tr w:rsidR="008D4B2E" w:rsidTr="00B87081">
        <w:trPr>
          <w:divId w:val="525408917"/>
          <w:trHeight w:val="429"/>
        </w:trPr>
        <w:tc>
          <w:tcPr>
            <w:tcW w:w="2039" w:type="dxa"/>
            <w:tcBorders>
              <w:top w:val="single" w:sz="8" w:space="0" w:color="auto"/>
              <w:left w:val="single" w:sz="8" w:space="0" w:color="auto"/>
              <w:bottom w:val="single" w:sz="8" w:space="0" w:color="auto"/>
              <w:right w:val="single" w:sz="8" w:space="0" w:color="auto"/>
            </w:tcBorders>
            <w:shd w:val="clear" w:color="auto" w:fill="D3D3D3"/>
            <w:vAlign w:val="center"/>
            <w:hideMark/>
          </w:tcPr>
          <w:p w:rsidR="008D4B2E" w:rsidRPr="00362F1D" w:rsidRDefault="008D4B2E" w:rsidP="00C75946">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t>解锁期</w:t>
            </w:r>
          </w:p>
        </w:tc>
        <w:tc>
          <w:tcPr>
            <w:tcW w:w="7590" w:type="dxa"/>
            <w:tcBorders>
              <w:top w:val="single" w:sz="8" w:space="0" w:color="auto"/>
              <w:left w:val="nil"/>
              <w:bottom w:val="single" w:sz="8" w:space="0" w:color="auto"/>
              <w:right w:val="single" w:sz="8" w:space="0" w:color="auto"/>
            </w:tcBorders>
            <w:shd w:val="clear" w:color="auto" w:fill="D3D3D3"/>
            <w:vAlign w:val="center"/>
            <w:hideMark/>
          </w:tcPr>
          <w:p w:rsidR="008D4B2E" w:rsidRPr="00362F1D" w:rsidRDefault="008D4B2E" w:rsidP="00C75946">
            <w:pPr>
              <w:spacing w:line="240" w:lineRule="exact"/>
              <w:jc w:val="center"/>
              <w:rPr>
                <w:rFonts w:ascii="宋体" w:eastAsia="宋体" w:hAnsi="宋体" w:cs="宋体"/>
                <w:sz w:val="18"/>
                <w:szCs w:val="18"/>
              </w:rPr>
            </w:pPr>
            <w:r w:rsidRPr="00362F1D">
              <w:rPr>
                <w:rFonts w:ascii="宋体" w:eastAsia="宋体" w:hAnsi="宋体" w:cs="宋体" w:hint="eastAsia"/>
                <w:bCs/>
                <w:sz w:val="18"/>
                <w:szCs w:val="18"/>
              </w:rPr>
              <w:t>业绩考核目标</w:t>
            </w:r>
          </w:p>
        </w:tc>
      </w:tr>
      <w:tr w:rsidR="008D4B2E" w:rsidTr="00B87081">
        <w:trPr>
          <w:divId w:val="525408917"/>
          <w:trHeight w:val="583"/>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第一个解锁期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2022</w:t>
            </w:r>
            <w:r w:rsidRPr="000C2E93">
              <w:rPr>
                <w:rFonts w:ascii="宋体" w:eastAsia="宋体" w:hAnsi="宋体" w:cs="宋体" w:hint="eastAsia"/>
                <w:sz w:val="18"/>
                <w:szCs w:val="18"/>
              </w:rPr>
              <w:t>年归属于上市公司股东的净利润为基数，</w:t>
            </w:r>
            <w:r w:rsidRPr="000C2E93">
              <w:rPr>
                <w:rFonts w:ascii="宋体" w:eastAsia="宋体" w:hAnsi="宋体" w:cs="宋体"/>
                <w:sz w:val="18"/>
                <w:szCs w:val="18"/>
              </w:rPr>
              <w:t>2023</w:t>
            </w:r>
            <w:r w:rsidRPr="000C2E93">
              <w:rPr>
                <w:rFonts w:ascii="宋体" w:eastAsia="宋体" w:hAnsi="宋体" w:cs="宋体" w:hint="eastAsia"/>
                <w:sz w:val="18"/>
                <w:szCs w:val="18"/>
              </w:rPr>
              <w:t>年归属于上市公司股东的净利润增长率不低</w:t>
            </w:r>
            <w:r w:rsidRPr="000C2E93">
              <w:rPr>
                <w:rFonts w:ascii="宋体" w:eastAsia="宋体" w:hAnsi="宋体" w:cs="宋体"/>
                <w:sz w:val="18"/>
                <w:szCs w:val="18"/>
              </w:rPr>
              <w:t>30.00%</w:t>
            </w:r>
            <w:r w:rsidRPr="000C2E93">
              <w:rPr>
                <w:rFonts w:ascii="宋体" w:eastAsia="宋体" w:hAnsi="宋体" w:cs="宋体" w:hint="eastAsia"/>
                <w:sz w:val="18"/>
                <w:szCs w:val="18"/>
              </w:rPr>
              <w:t>。</w:t>
            </w:r>
          </w:p>
        </w:tc>
      </w:tr>
      <w:tr w:rsidR="008D4B2E" w:rsidTr="00B87081">
        <w:trPr>
          <w:divId w:val="525408917"/>
          <w:trHeight w:val="618"/>
        </w:trPr>
        <w:tc>
          <w:tcPr>
            <w:tcW w:w="2039" w:type="dxa"/>
            <w:tcBorders>
              <w:top w:val="nil"/>
              <w:left w:val="single" w:sz="8" w:space="0" w:color="auto"/>
              <w:bottom w:val="single" w:sz="8" w:space="0" w:color="auto"/>
              <w:right w:val="single" w:sz="8" w:space="0" w:color="auto"/>
            </w:tcBorders>
            <w:vAlign w:val="center"/>
            <w:hideMark/>
          </w:tcPr>
          <w:p w:rsidR="008D4B2E" w:rsidRPr="000C2E93" w:rsidRDefault="008D4B2E" w:rsidP="00362F1D">
            <w:pPr>
              <w:spacing w:line="240" w:lineRule="exact"/>
              <w:rPr>
                <w:rFonts w:ascii="宋体" w:eastAsia="宋体" w:hAnsi="宋体" w:cs="宋体"/>
                <w:sz w:val="18"/>
                <w:szCs w:val="18"/>
              </w:rPr>
            </w:pPr>
            <w:r w:rsidRPr="000C2E93">
              <w:rPr>
                <w:rFonts w:ascii="宋体" w:eastAsia="宋体" w:hAnsi="宋体" w:cs="宋体" w:hint="eastAsia"/>
                <w:sz w:val="18"/>
                <w:szCs w:val="18"/>
              </w:rPr>
              <w:t>第二个解锁期</w:t>
            </w:r>
          </w:p>
        </w:tc>
        <w:tc>
          <w:tcPr>
            <w:tcW w:w="7590" w:type="dxa"/>
            <w:tcBorders>
              <w:top w:val="nil"/>
              <w:left w:val="nil"/>
              <w:bottom w:val="single" w:sz="8" w:space="0" w:color="auto"/>
              <w:right w:val="single" w:sz="8" w:space="0" w:color="auto"/>
            </w:tcBorders>
            <w:vAlign w:val="center"/>
            <w:hideMark/>
          </w:tcPr>
          <w:p w:rsidR="008D4B2E" w:rsidRPr="000C2E93" w:rsidRDefault="008D4B2E" w:rsidP="000C2E93">
            <w:pPr>
              <w:spacing w:line="240" w:lineRule="exact"/>
              <w:rPr>
                <w:rFonts w:ascii="宋体" w:eastAsia="宋体" w:hAnsi="宋体" w:cs="宋体"/>
                <w:sz w:val="18"/>
                <w:szCs w:val="18"/>
              </w:rPr>
            </w:pPr>
            <w:r w:rsidRPr="000C2E93">
              <w:rPr>
                <w:rFonts w:ascii="宋体" w:eastAsia="宋体" w:hAnsi="宋体" w:cs="宋体" w:hint="eastAsia"/>
                <w:sz w:val="18"/>
                <w:szCs w:val="18"/>
              </w:rPr>
              <w:t>以</w:t>
            </w:r>
            <w:r w:rsidRPr="000C2E93">
              <w:rPr>
                <w:rFonts w:ascii="宋体" w:eastAsia="宋体" w:hAnsi="宋体" w:cs="宋体"/>
                <w:sz w:val="18"/>
                <w:szCs w:val="18"/>
              </w:rPr>
              <w:t>2022</w:t>
            </w:r>
            <w:r w:rsidRPr="000C2E93">
              <w:rPr>
                <w:rFonts w:ascii="宋体" w:eastAsia="宋体" w:hAnsi="宋体" w:cs="宋体" w:hint="eastAsia"/>
                <w:sz w:val="18"/>
                <w:szCs w:val="18"/>
              </w:rPr>
              <w:t>年归属于上市公司股东的净利润为基数，</w:t>
            </w:r>
            <w:r w:rsidRPr="000C2E93">
              <w:rPr>
                <w:rFonts w:ascii="宋体" w:eastAsia="宋体" w:hAnsi="宋体" w:cs="宋体"/>
                <w:sz w:val="18"/>
                <w:szCs w:val="18"/>
              </w:rPr>
              <w:t>2024</w:t>
            </w:r>
            <w:r w:rsidRPr="000C2E93">
              <w:rPr>
                <w:rFonts w:ascii="宋体" w:eastAsia="宋体" w:hAnsi="宋体" w:cs="宋体" w:hint="eastAsia"/>
                <w:sz w:val="18"/>
                <w:szCs w:val="18"/>
              </w:rPr>
              <w:t>年归属于上市公司股东的净利润增长率不低</w:t>
            </w:r>
            <w:r w:rsidRPr="000C2E93">
              <w:rPr>
                <w:rFonts w:ascii="宋体" w:eastAsia="宋体" w:hAnsi="宋体" w:cs="宋体"/>
                <w:sz w:val="18"/>
                <w:szCs w:val="18"/>
              </w:rPr>
              <w:t>60.00%</w:t>
            </w:r>
            <w:r w:rsidRPr="000C2E93">
              <w:rPr>
                <w:rFonts w:ascii="宋体" w:eastAsia="宋体" w:hAnsi="宋体" w:cs="宋体" w:hint="eastAsia"/>
                <w:sz w:val="18"/>
                <w:szCs w:val="18"/>
              </w:rPr>
              <w:t>。</w:t>
            </w:r>
          </w:p>
        </w:tc>
      </w:tr>
    </w:tbl>
    <w:p w:rsidR="008D4B2E" w:rsidRDefault="008D4B2E" w:rsidP="00B87081">
      <w:pPr>
        <w:pStyle w:val="a3"/>
        <w:divId w:val="525408917"/>
        <w:rPr>
          <w:sz w:val="18"/>
          <w:szCs w:val="18"/>
        </w:rPr>
      </w:pPr>
      <w:r>
        <w:rPr>
          <w:rFonts w:hint="eastAsia"/>
          <w:sz w:val="20"/>
          <w:szCs w:val="20"/>
        </w:rPr>
        <w:t>注：上述“净利润”指经审计的归属于上市公司股东的净利润，并剔除全部在有效期内激励计划股份支付费用影响的数值作为计算依据。</w:t>
      </w:r>
    </w:p>
    <w:p w:rsidR="00BA0365" w:rsidRDefault="008D4B2E">
      <w:pPr>
        <w:pStyle w:val="3"/>
        <w:spacing w:line="280" w:lineRule="exact"/>
        <w:jc w:val="left"/>
        <w:rPr>
          <w:rFonts w:ascii="宋体" w:hAnsi="宋体" w:cs="宋体"/>
          <w:b/>
          <w:bCs/>
        </w:rPr>
      </w:pPr>
      <w:bookmarkStart w:id="401" w:name="_Toc989308"/>
      <w:r>
        <w:rPr>
          <w:rFonts w:ascii="宋体" w:hAnsi="宋体" w:cs="宋体"/>
          <w:b/>
          <w:bCs/>
        </w:rPr>
        <w:lastRenderedPageBreak/>
        <w:t>2、以权益结算的股份支付情况</w:t>
      </w:r>
      <w:bookmarkEnd w:id="401"/>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授予日权益工具公允价值的确定方法</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以Black-Scholes模型（B-S模型）作为定价模型，扣除激励对象在未来解除限售</w:t>
            </w:r>
            <w:proofErr w:type="gramStart"/>
            <w:r>
              <w:rPr>
                <w:rFonts w:ascii="宋体" w:eastAsia="宋体" w:hAnsi="宋体" w:cs="宋体"/>
                <w:sz w:val="18"/>
                <w:szCs w:val="18"/>
              </w:rPr>
              <w:t>期取得</w:t>
            </w:r>
            <w:proofErr w:type="gramEnd"/>
            <w:r>
              <w:rPr>
                <w:rFonts w:ascii="宋体" w:eastAsia="宋体" w:hAnsi="宋体" w:cs="宋体"/>
                <w:sz w:val="18"/>
                <w:szCs w:val="18"/>
              </w:rPr>
              <w:t>理性预期收益所需要支付的成本后作为限制性股票的公允价值</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可行权权益工具数量的确定依据</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公司根据在职激励对象对应的权益工具、对未来年度公司业绩的预测及对个人绩效考核情况进行确定</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本期估计与上期估计有重大差异的原因</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以权益结算的股份支付计入资本公积的累计金额</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316,097,971.40</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本期以权益结算的股份支付确认的费用总额</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110,357,659.37</w:t>
            </w:r>
          </w:p>
        </w:tc>
      </w:tr>
    </w:tbl>
    <w:p w:rsidR="00BA0365" w:rsidRDefault="008D4B2E">
      <w:pPr>
        <w:pStyle w:val="3"/>
        <w:spacing w:line="280" w:lineRule="exact"/>
        <w:jc w:val="left"/>
        <w:rPr>
          <w:rFonts w:ascii="宋体" w:hAnsi="宋体" w:cs="宋体"/>
          <w:b/>
          <w:bCs/>
        </w:rPr>
      </w:pPr>
      <w:bookmarkStart w:id="402" w:name="_Toc989309"/>
      <w:r>
        <w:rPr>
          <w:rFonts w:ascii="宋体" w:hAnsi="宋体" w:cs="宋体"/>
          <w:b/>
          <w:bCs/>
        </w:rPr>
        <w:t>3、以现金结算的股份支付情况</w:t>
      </w:r>
      <w:bookmarkEnd w:id="402"/>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403" w:name="_Toc989310"/>
      <w:r>
        <w:rPr>
          <w:rFonts w:ascii="宋体" w:hAnsi="宋体" w:cs="宋体"/>
          <w:b/>
          <w:bCs/>
        </w:rPr>
        <w:t>4、本期股份支付费用</w:t>
      </w:r>
      <w:bookmarkEnd w:id="403"/>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授予对象类别</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以权益结算的股份支付费用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以现金结算的股份支付费用</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关键员工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110,357,659.37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110,357,659.37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pStyle w:val="2"/>
        <w:spacing w:before="300" w:after="300" w:line="320" w:lineRule="exact"/>
        <w:rPr>
          <w:rFonts w:ascii="宋体" w:eastAsia="宋体" w:hAnsi="宋体" w:cs="宋体"/>
          <w:b/>
          <w:bCs/>
          <w:sz w:val="24"/>
          <w:szCs w:val="24"/>
        </w:rPr>
      </w:pPr>
      <w:bookmarkStart w:id="404" w:name="_Toc989313"/>
      <w:r>
        <w:rPr>
          <w:rFonts w:ascii="宋体" w:eastAsia="宋体" w:hAnsi="宋体" w:cs="宋体"/>
          <w:b/>
          <w:bCs/>
          <w:sz w:val="24"/>
          <w:szCs w:val="24"/>
        </w:rPr>
        <w:t>十六、承诺及或有事项</w:t>
      </w:r>
      <w:bookmarkEnd w:id="404"/>
    </w:p>
    <w:p w:rsidR="00BA0365" w:rsidRDefault="008D4B2E">
      <w:pPr>
        <w:pStyle w:val="3"/>
        <w:spacing w:line="280" w:lineRule="exact"/>
        <w:jc w:val="left"/>
        <w:rPr>
          <w:rFonts w:ascii="宋体" w:hAnsi="宋体" w:cs="宋体"/>
          <w:b/>
          <w:bCs/>
        </w:rPr>
      </w:pPr>
      <w:bookmarkStart w:id="405" w:name="_Toc989314"/>
      <w:r>
        <w:rPr>
          <w:rFonts w:ascii="宋体" w:hAnsi="宋体" w:cs="宋体"/>
          <w:b/>
          <w:bCs/>
        </w:rPr>
        <w:t>1、重要承诺事项</w:t>
      </w:r>
      <w:bookmarkEnd w:id="405"/>
    </w:p>
    <w:p w:rsidR="00BA0365" w:rsidRPr="00B87081" w:rsidRDefault="008D4B2E">
      <w:pPr>
        <w:spacing w:before="100" w:after="100" w:line="240" w:lineRule="exact"/>
        <w:rPr>
          <w:rFonts w:asciiTheme="minorEastAsia" w:hAnsiTheme="minorEastAsia" w:cs="宋体"/>
          <w:sz w:val="18"/>
          <w:szCs w:val="18"/>
        </w:rPr>
      </w:pPr>
      <w:r w:rsidRPr="00B87081">
        <w:rPr>
          <w:rFonts w:asciiTheme="minorEastAsia" w:hAnsiTheme="minorEastAsia" w:cs="宋体"/>
          <w:sz w:val="18"/>
          <w:szCs w:val="18"/>
        </w:rPr>
        <w:t>资产负债表</w:t>
      </w:r>
      <w:proofErr w:type="gramStart"/>
      <w:r w:rsidRPr="00B87081">
        <w:rPr>
          <w:rFonts w:asciiTheme="minorEastAsia" w:hAnsiTheme="minorEastAsia" w:cs="宋体"/>
          <w:sz w:val="18"/>
          <w:szCs w:val="18"/>
        </w:rPr>
        <w:t>日存在</w:t>
      </w:r>
      <w:proofErr w:type="gramEnd"/>
      <w:r w:rsidRPr="00B87081">
        <w:rPr>
          <w:rFonts w:asciiTheme="minorEastAsia" w:hAnsiTheme="minorEastAsia" w:cs="宋体"/>
          <w:sz w:val="18"/>
          <w:szCs w:val="18"/>
        </w:rPr>
        <w:t>的重要承诺</w:t>
      </w:r>
    </w:p>
    <w:p w:rsidR="008D4B2E" w:rsidRDefault="008D4B2E">
      <w:pPr>
        <w:pStyle w:val="a3"/>
        <w:spacing w:before="0" w:beforeAutospacing="0" w:after="0" w:afterAutospacing="0"/>
        <w:jc w:val="both"/>
        <w:divId w:val="2040887566"/>
        <w:rPr>
          <w:rFonts w:ascii="Arial" w:hAnsi="Arial" w:cs="Arial"/>
          <w:sz w:val="18"/>
          <w:szCs w:val="18"/>
        </w:rPr>
      </w:pPr>
      <w:r w:rsidRPr="00B87081">
        <w:rPr>
          <w:rFonts w:asciiTheme="minorEastAsia" w:eastAsiaTheme="minorEastAsia" w:hAnsiTheme="minorEastAsia" w:cs="Arial" w:hint="eastAsia"/>
          <w:sz w:val="18"/>
          <w:szCs w:val="18"/>
        </w:rPr>
        <w:t>截至</w:t>
      </w:r>
      <w:r w:rsidRPr="00B87081">
        <w:rPr>
          <w:rFonts w:asciiTheme="minorEastAsia" w:eastAsiaTheme="minorEastAsia" w:hAnsiTheme="minorEastAsia" w:cs="Arial"/>
          <w:sz w:val="18"/>
          <w:szCs w:val="18"/>
        </w:rPr>
        <w:t>2023</w:t>
      </w:r>
      <w:r w:rsidRPr="00B87081">
        <w:rPr>
          <w:rFonts w:asciiTheme="minorEastAsia" w:eastAsiaTheme="minorEastAsia" w:hAnsiTheme="minorEastAsia" w:cs="Arial" w:hint="eastAsia"/>
          <w:sz w:val="18"/>
          <w:szCs w:val="18"/>
        </w:rPr>
        <w:t>年</w:t>
      </w:r>
      <w:r w:rsidRPr="00B87081">
        <w:rPr>
          <w:rFonts w:asciiTheme="minorEastAsia" w:eastAsiaTheme="minorEastAsia" w:hAnsiTheme="minorEastAsia" w:cs="Arial"/>
          <w:sz w:val="18"/>
          <w:szCs w:val="18"/>
        </w:rPr>
        <w:t>12</w:t>
      </w:r>
      <w:r w:rsidRPr="00B87081">
        <w:rPr>
          <w:rFonts w:asciiTheme="minorEastAsia" w:eastAsiaTheme="minorEastAsia" w:hAnsiTheme="minorEastAsia" w:cs="Arial" w:hint="eastAsia"/>
          <w:sz w:val="18"/>
          <w:szCs w:val="18"/>
        </w:rPr>
        <w:t>月</w:t>
      </w:r>
      <w:r w:rsidRPr="00B87081">
        <w:rPr>
          <w:rFonts w:asciiTheme="minorEastAsia" w:eastAsiaTheme="minorEastAsia" w:hAnsiTheme="minorEastAsia" w:cs="Arial"/>
          <w:sz w:val="18"/>
          <w:szCs w:val="18"/>
        </w:rPr>
        <w:t>31</w:t>
      </w:r>
      <w:r w:rsidRPr="00B87081">
        <w:rPr>
          <w:rFonts w:asciiTheme="minorEastAsia" w:eastAsiaTheme="minorEastAsia" w:hAnsiTheme="minorEastAsia" w:cs="Arial" w:hint="eastAsia"/>
          <w:sz w:val="18"/>
          <w:szCs w:val="18"/>
        </w:rPr>
        <w:t>日，本公司本期无需要披露的重要承诺事项</w:t>
      </w:r>
      <w:r>
        <w:rPr>
          <w:rFonts w:cs="Arial" w:hint="eastAsia"/>
          <w:sz w:val="18"/>
          <w:szCs w:val="18"/>
        </w:rPr>
        <w:t>。</w:t>
      </w:r>
    </w:p>
    <w:p w:rsidR="00BA0365" w:rsidRDefault="008D4B2E">
      <w:pPr>
        <w:pStyle w:val="2"/>
        <w:spacing w:before="300" w:after="300" w:line="320" w:lineRule="exact"/>
        <w:rPr>
          <w:rFonts w:ascii="宋体" w:eastAsia="宋体" w:hAnsi="宋体" w:cs="宋体"/>
          <w:b/>
          <w:bCs/>
          <w:sz w:val="24"/>
          <w:szCs w:val="24"/>
        </w:rPr>
      </w:pPr>
      <w:bookmarkStart w:id="406" w:name="_Toc989319"/>
      <w:r>
        <w:rPr>
          <w:rFonts w:ascii="宋体" w:eastAsia="宋体" w:hAnsi="宋体" w:cs="宋体"/>
          <w:b/>
          <w:bCs/>
          <w:sz w:val="24"/>
          <w:szCs w:val="24"/>
        </w:rPr>
        <w:t>十七、资产负债表日后事项</w:t>
      </w:r>
      <w:bookmarkEnd w:id="406"/>
    </w:p>
    <w:p w:rsidR="00BA0365" w:rsidRDefault="008D4B2E">
      <w:pPr>
        <w:pStyle w:val="3"/>
        <w:spacing w:line="280" w:lineRule="exact"/>
        <w:jc w:val="left"/>
        <w:rPr>
          <w:rFonts w:ascii="宋体" w:hAnsi="宋体" w:cs="宋体"/>
          <w:b/>
          <w:bCs/>
        </w:rPr>
      </w:pPr>
      <w:bookmarkStart w:id="407" w:name="_Toc989320"/>
      <w:r>
        <w:rPr>
          <w:rFonts w:ascii="宋体" w:hAnsi="宋体" w:cs="宋体"/>
          <w:b/>
          <w:bCs/>
        </w:rPr>
        <w:t>1、利润分配情况</w:t>
      </w:r>
      <w:bookmarkEnd w:id="407"/>
    </w:p>
    <w:tbl>
      <w:tblPr>
        <w:tblW w:w="9639" w:type="dxa"/>
        <w:tblLayout w:type="fixed"/>
        <w:tblLook w:val="04A0" w:firstRow="1" w:lastRow="0" w:firstColumn="1" w:lastColumn="0" w:noHBand="0" w:noVBand="1"/>
      </w:tblPr>
      <w:tblGrid>
        <w:gridCol w:w="2943"/>
        <w:gridCol w:w="6696"/>
      </w:tblGrid>
      <w:tr w:rsidR="00157EA0" w:rsidTr="00C75946">
        <w:trPr>
          <w:trHeight w:val="240"/>
        </w:trPr>
        <w:tc>
          <w:tcPr>
            <w:tcW w:w="29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拟分配每10股派息数（元）</w:t>
            </w:r>
          </w:p>
        </w:tc>
        <w:tc>
          <w:tcPr>
            <w:tcW w:w="669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r>
      <w:tr w:rsidR="00157EA0" w:rsidTr="00C75946">
        <w:trPr>
          <w:trHeight w:val="240"/>
        </w:trPr>
        <w:tc>
          <w:tcPr>
            <w:tcW w:w="294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利润分配方案</w:t>
            </w:r>
          </w:p>
        </w:tc>
        <w:tc>
          <w:tcPr>
            <w:tcW w:w="669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本次利润分配预案为：</w:t>
            </w:r>
            <w:proofErr w:type="gramStart"/>
            <w:r>
              <w:rPr>
                <w:rFonts w:ascii="宋体" w:eastAsia="宋体" w:hAnsi="宋体" w:cs="宋体"/>
                <w:sz w:val="18"/>
                <w:szCs w:val="18"/>
              </w:rPr>
              <w:t>以软控股份有限公司</w:t>
            </w:r>
            <w:proofErr w:type="gramEnd"/>
            <w:r>
              <w:rPr>
                <w:rFonts w:ascii="宋体" w:eastAsia="宋体" w:hAnsi="宋体" w:cs="宋体"/>
                <w:sz w:val="18"/>
                <w:szCs w:val="18"/>
              </w:rPr>
              <w:t>（以下简称“公司”）2023年12月31日总股本1,012,096,504股为基数，向全体股东每10股派发现金红利1.00元（含税），送红股0股（含税），不以公积金转增股本。</w:t>
            </w:r>
          </w:p>
        </w:tc>
      </w:tr>
    </w:tbl>
    <w:p w:rsidR="00BA0365" w:rsidRDefault="008D4B2E">
      <w:pPr>
        <w:pStyle w:val="2"/>
        <w:spacing w:before="300" w:after="300" w:line="320" w:lineRule="exact"/>
        <w:rPr>
          <w:rFonts w:ascii="宋体" w:eastAsia="宋体" w:hAnsi="宋体" w:cs="宋体"/>
          <w:b/>
          <w:bCs/>
          <w:sz w:val="24"/>
          <w:szCs w:val="24"/>
        </w:rPr>
      </w:pPr>
      <w:bookmarkStart w:id="408" w:name="_Toc989323"/>
      <w:r>
        <w:rPr>
          <w:rFonts w:ascii="宋体" w:eastAsia="宋体" w:hAnsi="宋体" w:cs="宋体"/>
          <w:b/>
          <w:bCs/>
          <w:sz w:val="24"/>
          <w:szCs w:val="24"/>
        </w:rPr>
        <w:lastRenderedPageBreak/>
        <w:t>十八、其他重要事项</w:t>
      </w:r>
      <w:bookmarkEnd w:id="408"/>
    </w:p>
    <w:p w:rsidR="00BA0365" w:rsidRDefault="00C75946">
      <w:pPr>
        <w:pStyle w:val="3"/>
        <w:spacing w:line="280" w:lineRule="exact"/>
        <w:jc w:val="left"/>
        <w:rPr>
          <w:rFonts w:ascii="宋体" w:hAnsi="宋体" w:cs="宋体"/>
          <w:b/>
          <w:bCs/>
        </w:rPr>
      </w:pPr>
      <w:bookmarkStart w:id="409" w:name="_Toc989330"/>
      <w:r>
        <w:rPr>
          <w:rFonts w:ascii="宋体" w:hAnsi="宋体" w:cs="宋体"/>
          <w:b/>
          <w:bCs/>
        </w:rPr>
        <w:t>1</w:t>
      </w:r>
      <w:r w:rsidR="008D4B2E">
        <w:rPr>
          <w:rFonts w:ascii="宋体" w:hAnsi="宋体" w:cs="宋体"/>
          <w:b/>
          <w:bCs/>
        </w:rPr>
        <w:t>、分部信息</w:t>
      </w:r>
      <w:bookmarkEnd w:id="409"/>
    </w:p>
    <w:p w:rsidR="00BA0365" w:rsidRDefault="008D4B2E">
      <w:pPr>
        <w:keepNext/>
        <w:keepLines/>
        <w:spacing w:before="300" w:after="300" w:line="280" w:lineRule="exact"/>
        <w:outlineLvl w:val="3"/>
        <w:rPr>
          <w:rFonts w:ascii="宋体" w:eastAsia="宋体" w:hAnsi="宋体" w:cs="宋体"/>
          <w:b/>
          <w:bCs/>
          <w:szCs w:val="21"/>
        </w:rPr>
      </w:pPr>
      <w:bookmarkStart w:id="410" w:name="_Toc989331"/>
      <w:r>
        <w:rPr>
          <w:rFonts w:ascii="宋体" w:eastAsia="宋体" w:hAnsi="宋体" w:cs="宋体"/>
          <w:b/>
          <w:bCs/>
          <w:szCs w:val="21"/>
        </w:rPr>
        <w:t>（1） 报告分部的确定依据与会计政策</w:t>
      </w:r>
      <w:bookmarkEnd w:id="410"/>
    </w:p>
    <w:p w:rsidR="00362F1D" w:rsidRDefault="008D4B2E" w:rsidP="00B87081">
      <w:pPr>
        <w:ind w:firstLineChars="200" w:firstLine="360"/>
        <w:divId w:val="474567145"/>
        <w:rPr>
          <w:rFonts w:ascii="宋体" w:eastAsia="宋体" w:hAnsi="宋体" w:cs="宋体"/>
          <w:sz w:val="18"/>
          <w:szCs w:val="18"/>
        </w:rPr>
      </w:pPr>
      <w:r w:rsidRPr="000C2E93">
        <w:rPr>
          <w:rFonts w:ascii="宋体" w:eastAsia="宋体" w:hAnsi="宋体" w:cs="宋体" w:hint="eastAsia"/>
          <w:sz w:val="18"/>
          <w:szCs w:val="18"/>
        </w:rPr>
        <w:t>公司以内部组织结构、管理要求、内部报告制度等为依据确定经营分部。公司的经营分部是指同时满足下列条件的组成部分：</w:t>
      </w:r>
    </w:p>
    <w:p w:rsidR="00362F1D" w:rsidRDefault="008D4B2E" w:rsidP="00B87081">
      <w:pPr>
        <w:ind w:firstLineChars="200" w:firstLine="360"/>
        <w:divId w:val="474567145"/>
        <w:rPr>
          <w:rFonts w:ascii="宋体" w:eastAsia="宋体" w:hAnsi="宋体" w:cs="宋体"/>
          <w:sz w:val="18"/>
          <w:szCs w:val="18"/>
        </w:rPr>
      </w:pPr>
      <w:r w:rsidRPr="000C2E93">
        <w:rPr>
          <w:rFonts w:ascii="宋体" w:eastAsia="宋体" w:hAnsi="宋体" w:cs="宋体" w:hint="eastAsia"/>
          <w:sz w:val="18"/>
          <w:szCs w:val="18"/>
        </w:rPr>
        <w:t>①该组成部分能够在日常活动中产生收入、发生费用；</w:t>
      </w:r>
    </w:p>
    <w:p w:rsidR="008D4B2E" w:rsidRPr="000C2E93" w:rsidRDefault="008D4B2E" w:rsidP="00B87081">
      <w:pPr>
        <w:ind w:firstLineChars="200" w:firstLine="360"/>
        <w:divId w:val="474567145"/>
        <w:rPr>
          <w:rFonts w:ascii="宋体" w:eastAsia="宋体" w:hAnsi="宋体" w:cs="宋体"/>
          <w:sz w:val="18"/>
          <w:szCs w:val="18"/>
        </w:rPr>
      </w:pPr>
      <w:r w:rsidRPr="000C2E93">
        <w:rPr>
          <w:rFonts w:ascii="宋体" w:eastAsia="宋体" w:hAnsi="宋体" w:cs="宋体" w:hint="eastAsia"/>
          <w:sz w:val="18"/>
          <w:szCs w:val="18"/>
        </w:rPr>
        <w:t>②管理层能够定期评价该组成部分的经营成果，以决定向其配置资源、评价其业绩；</w:t>
      </w:r>
    </w:p>
    <w:p w:rsidR="008D4B2E" w:rsidRPr="000C2E93" w:rsidRDefault="008D4B2E" w:rsidP="00B87081">
      <w:pPr>
        <w:ind w:firstLineChars="200" w:firstLine="360"/>
        <w:divId w:val="474567145"/>
        <w:rPr>
          <w:rFonts w:ascii="宋体" w:eastAsia="宋体" w:hAnsi="宋体" w:cs="宋体"/>
          <w:sz w:val="18"/>
          <w:szCs w:val="18"/>
        </w:rPr>
      </w:pPr>
      <w:r w:rsidRPr="000C2E93">
        <w:rPr>
          <w:rFonts w:ascii="宋体" w:eastAsia="宋体" w:hAnsi="宋体" w:cs="宋体" w:hint="eastAsia"/>
          <w:sz w:val="18"/>
          <w:szCs w:val="18"/>
        </w:rPr>
        <w:t>③能够通过分析取得该组成部分的财务状况、经营成果和现金流量等有关会计信息。</w:t>
      </w:r>
    </w:p>
    <w:p w:rsidR="008D4B2E" w:rsidRPr="000C2E93" w:rsidRDefault="008D4B2E" w:rsidP="00B87081">
      <w:pPr>
        <w:ind w:firstLineChars="200" w:firstLine="360"/>
        <w:divId w:val="474567145"/>
        <w:rPr>
          <w:rFonts w:ascii="宋体" w:eastAsia="宋体" w:hAnsi="宋体" w:cs="宋体"/>
          <w:sz w:val="18"/>
          <w:szCs w:val="18"/>
        </w:rPr>
      </w:pPr>
      <w:r w:rsidRPr="000C2E93">
        <w:rPr>
          <w:rFonts w:ascii="宋体" w:eastAsia="宋体" w:hAnsi="宋体" w:cs="宋体" w:hint="eastAsia"/>
          <w:sz w:val="18"/>
          <w:szCs w:val="18"/>
        </w:rPr>
        <w:t>本公司以行业分部为基础确定报告分部，主营业务收入、主营业务成本按销售商品类别进行划分。</w:t>
      </w:r>
    </w:p>
    <w:p w:rsidR="00BA0365" w:rsidRDefault="008D4B2E">
      <w:pPr>
        <w:keepNext/>
        <w:keepLines/>
        <w:spacing w:before="300" w:after="300" w:line="280" w:lineRule="exact"/>
        <w:outlineLvl w:val="3"/>
        <w:rPr>
          <w:rFonts w:ascii="宋体" w:eastAsia="宋体" w:hAnsi="宋体" w:cs="宋体"/>
          <w:b/>
          <w:bCs/>
          <w:szCs w:val="21"/>
        </w:rPr>
      </w:pPr>
      <w:bookmarkStart w:id="411" w:name="_Toc989332"/>
      <w:r>
        <w:rPr>
          <w:rFonts w:ascii="宋体" w:eastAsia="宋体" w:hAnsi="宋体" w:cs="宋体"/>
          <w:b/>
          <w:bCs/>
          <w:szCs w:val="21"/>
        </w:rPr>
        <w:t>（2） 报告分部的财务信息</w:t>
      </w:r>
      <w:bookmarkEnd w:id="41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rsidTr="00B87081">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软件业</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line="240" w:lineRule="exact"/>
              <w:jc w:val="center"/>
              <w:rPr>
                <w:rFonts w:ascii="宋体" w:eastAsia="宋体" w:hAnsi="宋体" w:cs="宋体"/>
                <w:sz w:val="18"/>
                <w:szCs w:val="18"/>
              </w:rPr>
            </w:pPr>
            <w:r>
              <w:rPr>
                <w:rFonts w:ascii="宋体" w:eastAsia="宋体" w:hAnsi="宋体" w:cs="宋体"/>
                <w:sz w:val="18"/>
                <w:szCs w:val="18"/>
              </w:rPr>
              <w:t>制造及安装业</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分部间</w:t>
            </w:r>
            <w:proofErr w:type="gramStart"/>
            <w:r>
              <w:rPr>
                <w:rFonts w:ascii="宋体" w:eastAsia="宋体" w:hAnsi="宋体" w:cs="宋体"/>
                <w:sz w:val="18"/>
                <w:szCs w:val="18"/>
              </w:rPr>
              <w:t>抵销</w:t>
            </w:r>
            <w:proofErr w:type="gramEnd"/>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合计</w:t>
            </w:r>
          </w:p>
        </w:tc>
      </w:tr>
      <w:tr w:rsidR="00157EA0" w:rsidTr="00B87081">
        <w:trPr>
          <w:trHeight w:val="394"/>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营业收入</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5,647,595,165.99</w:t>
            </w:r>
          </w:p>
        </w:tc>
      </w:tr>
      <w:tr w:rsidR="00157EA0" w:rsidTr="00B87081">
        <w:trPr>
          <w:trHeight w:val="414"/>
        </w:trPr>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营业成本</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14,079,974.00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4,379,302,430.42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214,180,155.25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4,179,202,249.17</w:t>
            </w:r>
          </w:p>
        </w:tc>
      </w:tr>
    </w:tbl>
    <w:p w:rsidR="00BA0365" w:rsidRDefault="008D4B2E">
      <w:pPr>
        <w:pStyle w:val="2"/>
        <w:spacing w:before="300" w:after="300" w:line="320" w:lineRule="exact"/>
        <w:rPr>
          <w:rFonts w:ascii="宋体" w:eastAsia="宋体" w:hAnsi="宋体" w:cs="宋体"/>
          <w:b/>
          <w:bCs/>
          <w:sz w:val="24"/>
          <w:szCs w:val="24"/>
        </w:rPr>
      </w:pPr>
      <w:bookmarkStart w:id="412" w:name="_Toc989337"/>
      <w:r>
        <w:rPr>
          <w:rFonts w:ascii="宋体" w:eastAsia="宋体" w:hAnsi="宋体" w:cs="宋体"/>
          <w:b/>
          <w:bCs/>
          <w:sz w:val="24"/>
          <w:szCs w:val="24"/>
        </w:rPr>
        <w:t>十九、母公司财务报表主要项目注释</w:t>
      </w:r>
      <w:bookmarkEnd w:id="412"/>
    </w:p>
    <w:p w:rsidR="00BA0365" w:rsidRDefault="008D4B2E">
      <w:pPr>
        <w:pStyle w:val="3"/>
        <w:spacing w:line="280" w:lineRule="exact"/>
        <w:jc w:val="left"/>
        <w:rPr>
          <w:rFonts w:ascii="宋体" w:hAnsi="宋体" w:cs="宋体"/>
          <w:b/>
          <w:bCs/>
        </w:rPr>
      </w:pPr>
      <w:bookmarkStart w:id="413" w:name="_Toc989338"/>
      <w:r>
        <w:rPr>
          <w:rFonts w:ascii="宋体" w:hAnsi="宋体" w:cs="宋体"/>
          <w:b/>
          <w:bCs/>
        </w:rPr>
        <w:t>1、应收账款</w:t>
      </w:r>
      <w:bookmarkEnd w:id="413"/>
    </w:p>
    <w:p w:rsidR="00BA0365" w:rsidRDefault="008D4B2E">
      <w:pPr>
        <w:keepNext/>
        <w:keepLines/>
        <w:spacing w:before="300" w:after="300" w:line="280" w:lineRule="exact"/>
        <w:outlineLvl w:val="3"/>
        <w:rPr>
          <w:rFonts w:ascii="宋体" w:eastAsia="宋体" w:hAnsi="宋体" w:cs="宋体"/>
          <w:b/>
          <w:bCs/>
          <w:szCs w:val="21"/>
        </w:rPr>
      </w:pPr>
      <w:bookmarkStart w:id="414" w:name="_Toc989339"/>
      <w:r>
        <w:rPr>
          <w:rFonts w:ascii="宋体" w:eastAsia="宋体" w:hAnsi="宋体" w:cs="宋体"/>
          <w:b/>
          <w:bCs/>
          <w:szCs w:val="21"/>
        </w:rPr>
        <w:t xml:space="preserve">（1） </w:t>
      </w:r>
      <w:proofErr w:type="gramStart"/>
      <w:r>
        <w:rPr>
          <w:rFonts w:ascii="宋体" w:eastAsia="宋体" w:hAnsi="宋体" w:cs="宋体"/>
          <w:b/>
          <w:bCs/>
          <w:szCs w:val="21"/>
        </w:rPr>
        <w:t>按账龄</w:t>
      </w:r>
      <w:proofErr w:type="gramEnd"/>
      <w:r>
        <w:rPr>
          <w:rFonts w:ascii="宋体" w:eastAsia="宋体" w:hAnsi="宋体" w:cs="宋体"/>
          <w:b/>
          <w:bCs/>
          <w:szCs w:val="21"/>
        </w:rPr>
        <w:t>披露</w:t>
      </w:r>
      <w:bookmarkEnd w:id="414"/>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227,925,586.46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254,636,216.34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69,466,166.56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118,370,520.32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45,201,267.32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53,025,756.54</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526,612,255.13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481,668,309.53</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52,917,214.90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55,979,259.41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54,155,095.58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8,839,954.21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419,539,944.65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416,849,095.91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869,205,275.47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907,700,802.73</w:t>
            </w:r>
          </w:p>
        </w:tc>
      </w:tr>
    </w:tbl>
    <w:p w:rsidR="00BA0365" w:rsidRDefault="008D4B2E">
      <w:pPr>
        <w:keepNext/>
        <w:keepLines/>
        <w:spacing w:before="300" w:after="300" w:line="280" w:lineRule="exact"/>
        <w:outlineLvl w:val="3"/>
        <w:rPr>
          <w:rFonts w:ascii="宋体" w:eastAsia="宋体" w:hAnsi="宋体" w:cs="宋体"/>
          <w:b/>
          <w:bCs/>
          <w:szCs w:val="21"/>
        </w:rPr>
      </w:pPr>
      <w:bookmarkStart w:id="415" w:name="_Toc989340"/>
      <w:r>
        <w:rPr>
          <w:rFonts w:ascii="宋体" w:eastAsia="宋体" w:hAnsi="宋体" w:cs="宋体"/>
          <w:b/>
          <w:bCs/>
          <w:szCs w:val="21"/>
        </w:rPr>
        <w:t>（2） 按坏账计提方法分类披露</w:t>
      </w:r>
      <w:bookmarkEnd w:id="41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875"/>
        <w:gridCol w:w="876"/>
        <w:gridCol w:w="877"/>
        <w:gridCol w:w="876"/>
        <w:gridCol w:w="877"/>
        <w:gridCol w:w="876"/>
        <w:gridCol w:w="876"/>
        <w:gridCol w:w="877"/>
        <w:gridCol w:w="876"/>
        <w:gridCol w:w="877"/>
        <w:gridCol w:w="876"/>
      </w:tblGrid>
      <w:tr w:rsidR="00157EA0">
        <w:trPr>
          <w:trHeight w:val="240"/>
        </w:trPr>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381" w:type="dxa"/>
            <w:gridSpan w:val="5"/>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753"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876"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trPr>
          <w:trHeight w:val="240"/>
        </w:trPr>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比例</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876"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按单项</w:t>
            </w:r>
            <w:r>
              <w:rPr>
                <w:rFonts w:ascii="宋体" w:eastAsia="宋体" w:hAnsi="宋体" w:cs="宋体"/>
                <w:sz w:val="18"/>
                <w:szCs w:val="18"/>
              </w:rPr>
              <w:lastRenderedPageBreak/>
              <w:t>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10,609,</w:t>
            </w:r>
            <w:r>
              <w:rPr>
                <w:rFonts w:ascii="宋体" w:eastAsia="宋体" w:hAnsi="宋体" w:cs="宋体"/>
                <w:sz w:val="18"/>
                <w:szCs w:val="18"/>
              </w:rPr>
              <w:lastRenderedPageBreak/>
              <w:t>867.21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1.22%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w:t>
            </w:r>
            <w:r>
              <w:rPr>
                <w:rFonts w:ascii="宋体" w:eastAsia="宋体" w:hAnsi="宋体" w:cs="宋体"/>
                <w:sz w:val="18"/>
                <w:szCs w:val="18"/>
              </w:rPr>
              <w:lastRenderedPageBreak/>
              <w:t>867.21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10,651,</w:t>
            </w:r>
            <w:r>
              <w:rPr>
                <w:rFonts w:ascii="宋体" w:eastAsia="宋体" w:hAnsi="宋体" w:cs="宋体"/>
                <w:sz w:val="18"/>
                <w:szCs w:val="18"/>
              </w:rPr>
              <w:lastRenderedPageBreak/>
              <w:t>541.71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1.17%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10,651,</w:t>
            </w:r>
            <w:r>
              <w:rPr>
                <w:rFonts w:ascii="宋体" w:eastAsia="宋体" w:hAnsi="宋体" w:cs="宋体"/>
                <w:sz w:val="18"/>
                <w:szCs w:val="18"/>
              </w:rPr>
              <w:lastRenderedPageBreak/>
              <w:t>541.71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lastRenderedPageBreak/>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按组合计提坏账准备的应收账款</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858,595,408.26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98.78%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55,068,403.31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803,527,004.95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897,049,261.02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98.83%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60,347,911.95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6.73%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836,701,349.07</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100" w:firstLine="180"/>
              <w:rPr>
                <w:rFonts w:ascii="宋体" w:eastAsia="宋体" w:hAnsi="宋体" w:cs="宋体"/>
                <w:sz w:val="18"/>
                <w:szCs w:val="18"/>
              </w:rPr>
            </w:pPr>
            <w:r>
              <w:rPr>
                <w:rFonts w:ascii="宋体" w:eastAsia="宋体" w:hAnsi="宋体" w:cs="宋体"/>
                <w:sz w:val="18"/>
                <w:szCs w:val="18"/>
              </w:rPr>
              <w:t>其中：</w:t>
            </w:r>
          </w:p>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其中：</w:t>
            </w:r>
            <w:proofErr w:type="gramStart"/>
            <w:r>
              <w:rPr>
                <w:rFonts w:ascii="宋体" w:eastAsia="宋体" w:hAnsi="宋体" w:cs="宋体"/>
                <w:sz w:val="18"/>
                <w:szCs w:val="18"/>
              </w:rPr>
              <w:t>账</w:t>
            </w:r>
            <w:proofErr w:type="gramEnd"/>
            <w:r>
              <w:rPr>
                <w:rFonts w:ascii="宋体" w:eastAsia="宋体" w:hAnsi="宋体" w:cs="宋体"/>
                <w:sz w:val="18"/>
                <w:szCs w:val="18"/>
              </w:rPr>
              <w:t>龄组合</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64,459,218.87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55,068,403.31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85.43%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9,390,815.56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73,955,924.11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60,347,911.95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81.60%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13,608,012.16</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合并范围内公司</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794,136,189.39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91.36%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794,136,189.39</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823,093,336.91</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90.68%</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823,093,336.91</w:t>
            </w:r>
          </w:p>
        </w:tc>
      </w:tr>
      <w:tr w:rsidR="00157EA0">
        <w:trPr>
          <w:trHeight w:val="240"/>
        </w:trPr>
        <w:tc>
          <w:tcPr>
            <w:tcW w:w="87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869,205,275.47</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65,678,270.52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7.56%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803,527,004.95</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907,700,802.73</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70,999,453.66</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7.82%</w:t>
            </w:r>
          </w:p>
        </w:tc>
        <w:tc>
          <w:tcPr>
            <w:tcW w:w="87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836,701,349.07</w:t>
            </w:r>
          </w:p>
        </w:tc>
      </w:tr>
    </w:tbl>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按单项计提坏账准备：</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1377"/>
        <w:gridCol w:w="1377"/>
        <w:gridCol w:w="1377"/>
        <w:gridCol w:w="1377"/>
        <w:gridCol w:w="1377"/>
        <w:gridCol w:w="1377"/>
      </w:tblGrid>
      <w:tr w:rsidR="00157EA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2754"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50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计提理由</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B公司</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1,145,086.00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415,180.00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86,127.30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86,127.30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44,452.80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44,452.80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无法收回</w:t>
            </w:r>
          </w:p>
        </w:tc>
      </w:tr>
      <w:tr w:rsidR="00157EA0">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10,651,541.71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10,651,541.71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10,609,867.21</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spacing w:line="240" w:lineRule="exact"/>
        <w:rPr>
          <w:rFonts w:ascii="宋体" w:eastAsia="宋体" w:hAnsi="宋体" w:cs="宋体"/>
          <w:sz w:val="18"/>
          <w:szCs w:val="18"/>
        </w:rPr>
      </w:pPr>
      <w:r>
        <w:rPr>
          <w:rFonts w:ascii="宋体" w:eastAsia="宋体" w:hAnsi="宋体" w:cs="宋体"/>
          <w:sz w:val="18"/>
          <w:szCs w:val="18"/>
        </w:rPr>
        <w:t>按组合计提坏账准备：</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2409"/>
        <w:gridCol w:w="2410"/>
        <w:gridCol w:w="2410"/>
        <w:gridCol w:w="2410"/>
      </w:tblGrid>
      <w:tr w:rsidR="00157EA0">
        <w:trPr>
          <w:trHeight w:val="240"/>
        </w:trPr>
        <w:tc>
          <w:tcPr>
            <w:tcW w:w="241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名称</w:t>
            </w:r>
          </w:p>
        </w:tc>
        <w:tc>
          <w:tcPr>
            <w:tcW w:w="7229"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trPr>
          <w:trHeight w:val="240"/>
        </w:trPr>
        <w:tc>
          <w:tcPr>
            <w:tcW w:w="241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计提比例</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4,270,834.25</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85,416.69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1至2年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3,882,303.86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194,115.19</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2至3年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321,099.78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32,109.98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3至4年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2,103,518.88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1,051,759.44</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4至5年</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882,300.47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705,840.38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5年以上</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52,999,161.63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52,999,161.63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100.00%</w:t>
            </w:r>
          </w:p>
        </w:tc>
      </w:tr>
      <w:tr w:rsidR="00157EA0">
        <w:trPr>
          <w:trHeight w:val="240"/>
        </w:trPr>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64,459,218.87</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55,068,403.31</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如是按照预期信用损失一般模型计提应收账款坏账准备：</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416" w:name="_Toc989341"/>
      <w:r>
        <w:rPr>
          <w:rFonts w:ascii="宋体" w:eastAsia="宋体" w:hAnsi="宋体" w:cs="宋体"/>
          <w:b/>
          <w:bCs/>
          <w:szCs w:val="21"/>
        </w:rPr>
        <w:t>（3） 本期计提、收回或转回的坏账准备情况</w:t>
      </w:r>
      <w:bookmarkEnd w:id="416"/>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本期计提坏账准备情况：</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2133"/>
        <w:gridCol w:w="1560"/>
        <w:gridCol w:w="1134"/>
        <w:gridCol w:w="992"/>
        <w:gridCol w:w="992"/>
        <w:gridCol w:w="1451"/>
      </w:tblGrid>
      <w:tr w:rsidR="00157EA0" w:rsidTr="00C75946">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213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4678"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45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C75946">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13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1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w:t>
            </w:r>
          </w:p>
        </w:tc>
        <w:tc>
          <w:tcPr>
            <w:tcW w:w="99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45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C75946">
        <w:trPr>
          <w:trHeight w:val="240"/>
        </w:trPr>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坏账准备</w:t>
            </w:r>
          </w:p>
        </w:tc>
        <w:tc>
          <w:tcPr>
            <w:tcW w:w="213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70,999,453.66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-5,321,182.14</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65,678,270.52</w:t>
            </w:r>
          </w:p>
        </w:tc>
      </w:tr>
      <w:tr w:rsidR="00157EA0" w:rsidTr="00C75946">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213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70,999,453.66</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-5,321,182.14</w:t>
            </w:r>
          </w:p>
        </w:tc>
        <w:tc>
          <w:tcPr>
            <w:tcW w:w="1134"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c>
          <w:tcPr>
            <w:tcW w:w="99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45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65,678,270.52</w:t>
            </w:r>
          </w:p>
        </w:tc>
      </w:tr>
    </w:tbl>
    <w:p w:rsidR="00BA0365" w:rsidRDefault="008D4B2E">
      <w:pPr>
        <w:keepNext/>
        <w:keepLines/>
        <w:spacing w:before="300" w:after="300" w:line="280" w:lineRule="exact"/>
        <w:outlineLvl w:val="3"/>
        <w:rPr>
          <w:rFonts w:ascii="宋体" w:eastAsia="宋体" w:hAnsi="宋体" w:cs="宋体"/>
          <w:b/>
          <w:bCs/>
          <w:szCs w:val="21"/>
        </w:rPr>
      </w:pPr>
      <w:r>
        <w:rPr>
          <w:rFonts w:ascii="宋体" w:eastAsia="宋体" w:hAnsi="宋体" w:cs="宋体"/>
          <w:b/>
          <w:bCs/>
          <w:szCs w:val="21"/>
        </w:rPr>
        <w:t>（4） 本期实际核销的应收账款情况</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核销金额</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实际核销的应收账款</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1.00</w:t>
            </w:r>
          </w:p>
        </w:tc>
      </w:tr>
    </w:tbl>
    <w:p w:rsidR="00BA0365" w:rsidRDefault="008D4B2E">
      <w:pPr>
        <w:keepNext/>
        <w:keepLines/>
        <w:spacing w:before="300" w:after="300" w:line="280" w:lineRule="exact"/>
        <w:outlineLvl w:val="3"/>
        <w:rPr>
          <w:rFonts w:ascii="宋体" w:eastAsia="宋体" w:hAnsi="宋体" w:cs="宋体"/>
          <w:b/>
          <w:bCs/>
          <w:szCs w:val="21"/>
        </w:rPr>
      </w:pPr>
      <w:bookmarkStart w:id="417" w:name="_Toc989343"/>
      <w:r>
        <w:rPr>
          <w:rFonts w:ascii="宋体" w:eastAsia="宋体" w:hAnsi="宋体" w:cs="宋体"/>
          <w:b/>
          <w:bCs/>
          <w:szCs w:val="21"/>
        </w:rPr>
        <w:t>（5） 按欠款方归集的期末余额前五名的应收账款和合同资产情况</w:t>
      </w:r>
      <w:bookmarkEnd w:id="41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606"/>
        <w:gridCol w:w="1606"/>
        <w:gridCol w:w="1606"/>
        <w:gridCol w:w="1607"/>
        <w:gridCol w:w="1607"/>
        <w:gridCol w:w="1607"/>
      </w:tblGrid>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应收账款和合同资产期末余额</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占应收账款和合同资产期末余额合计数的比例</w:t>
            </w:r>
          </w:p>
        </w:tc>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应收账款坏账准备和合同资产减值准备期末余额</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483,324,141.52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483,324,141.52</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55.61%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B公司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233,000,000.00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233,000,000.00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26.81%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71,290,000.00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71,290,000.00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8.20%</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15,577,970.23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15,577,970.23</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1.79%</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15,577,970.23</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E公司</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1.04%</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9,005,148.41</w:t>
            </w:r>
          </w:p>
        </w:tc>
      </w:tr>
      <w:tr w:rsidR="00157EA0">
        <w:trPr>
          <w:trHeight w:val="240"/>
        </w:trPr>
        <w:tc>
          <w:tcPr>
            <w:tcW w:w="1606"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812,197,260.16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812,197,260.16</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93.45%</w:t>
            </w:r>
          </w:p>
        </w:tc>
        <w:tc>
          <w:tcPr>
            <w:tcW w:w="1606"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24,583,118.64</w:t>
            </w:r>
          </w:p>
        </w:tc>
      </w:tr>
    </w:tbl>
    <w:p w:rsidR="00BA0365" w:rsidRDefault="008D4B2E">
      <w:pPr>
        <w:pStyle w:val="3"/>
        <w:spacing w:line="280" w:lineRule="exact"/>
        <w:jc w:val="left"/>
        <w:rPr>
          <w:rFonts w:ascii="宋体" w:hAnsi="宋体" w:cs="宋体"/>
          <w:b/>
          <w:bCs/>
        </w:rPr>
      </w:pPr>
      <w:bookmarkStart w:id="418" w:name="_Toc989344"/>
      <w:r>
        <w:rPr>
          <w:rFonts w:ascii="宋体" w:hAnsi="宋体" w:cs="宋体"/>
          <w:b/>
          <w:bCs/>
        </w:rPr>
        <w:t>2、其他应收款</w:t>
      </w:r>
      <w:bookmarkEnd w:id="41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应收利息</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应收股利</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395,141,504.10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541,330,986.39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395,141,504.10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542,860,986.39</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419" w:name="_Toc989345"/>
      <w:r>
        <w:rPr>
          <w:rFonts w:ascii="宋体" w:eastAsia="宋体" w:hAnsi="宋体" w:cs="宋体"/>
          <w:b/>
          <w:bCs/>
          <w:sz w:val="18"/>
          <w:szCs w:val="18"/>
        </w:rPr>
        <w:t>（1） 应收股利</w:t>
      </w:r>
      <w:bookmarkEnd w:id="419"/>
    </w:p>
    <w:p w:rsidR="00BA0365" w:rsidRDefault="008D4B2E">
      <w:pPr>
        <w:keepNext/>
        <w:keepLines/>
        <w:spacing w:before="300" w:after="300" w:line="280" w:lineRule="exact"/>
        <w:outlineLvl w:val="4"/>
        <w:rPr>
          <w:rFonts w:ascii="宋体" w:eastAsia="宋体" w:hAnsi="宋体" w:cs="宋体"/>
          <w:b/>
          <w:bCs/>
          <w:sz w:val="18"/>
          <w:szCs w:val="18"/>
        </w:rPr>
      </w:pPr>
      <w:bookmarkStart w:id="420" w:name="_Toc989346"/>
      <w:r>
        <w:rPr>
          <w:rFonts w:ascii="宋体" w:eastAsia="宋体" w:hAnsi="宋体" w:cs="宋体"/>
          <w:b/>
          <w:bCs/>
          <w:sz w:val="18"/>
          <w:szCs w:val="18"/>
        </w:rPr>
        <w:t>1） 应收股利分类</w:t>
      </w:r>
      <w:bookmarkEnd w:id="420"/>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项目（或被投资单位）</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1,530,000.00</w:t>
            </w:r>
          </w:p>
        </w:tc>
      </w:tr>
    </w:tbl>
    <w:p w:rsidR="00BA0365" w:rsidRDefault="008D4B2E">
      <w:pPr>
        <w:keepNext/>
        <w:keepLines/>
        <w:spacing w:before="300" w:after="300" w:line="280" w:lineRule="exact"/>
        <w:outlineLvl w:val="3"/>
        <w:rPr>
          <w:rFonts w:ascii="宋体" w:eastAsia="宋体" w:hAnsi="宋体" w:cs="宋体"/>
          <w:b/>
          <w:bCs/>
          <w:sz w:val="18"/>
          <w:szCs w:val="18"/>
        </w:rPr>
      </w:pPr>
      <w:bookmarkStart w:id="421" w:name="_Toc989347"/>
      <w:r>
        <w:rPr>
          <w:rFonts w:ascii="宋体" w:eastAsia="宋体" w:hAnsi="宋体" w:cs="宋体"/>
          <w:b/>
          <w:bCs/>
          <w:sz w:val="18"/>
          <w:szCs w:val="18"/>
        </w:rPr>
        <w:t>（2） 其他应收款</w:t>
      </w:r>
      <w:bookmarkEnd w:id="421"/>
    </w:p>
    <w:p w:rsidR="00BA0365" w:rsidRDefault="008D4B2E">
      <w:pPr>
        <w:keepNext/>
        <w:keepLines/>
        <w:spacing w:before="300" w:after="300" w:line="280" w:lineRule="exact"/>
        <w:outlineLvl w:val="4"/>
        <w:rPr>
          <w:rFonts w:ascii="宋体" w:eastAsia="宋体" w:hAnsi="宋体" w:cs="宋体"/>
          <w:b/>
          <w:bCs/>
          <w:sz w:val="18"/>
          <w:szCs w:val="18"/>
        </w:rPr>
      </w:pPr>
      <w:bookmarkStart w:id="422" w:name="_Toc989348"/>
      <w:r>
        <w:rPr>
          <w:rFonts w:ascii="宋体" w:eastAsia="宋体" w:hAnsi="宋体" w:cs="宋体"/>
          <w:b/>
          <w:bCs/>
          <w:sz w:val="18"/>
          <w:szCs w:val="18"/>
        </w:rPr>
        <w:t>1） 其他应收款按款项性质分类情况</w:t>
      </w:r>
      <w:bookmarkEnd w:id="42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款项性质</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其他应收款</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395,141,504.10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541,330,986.39</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395,141,504.10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541,330,986.39</w:t>
            </w:r>
          </w:p>
        </w:tc>
      </w:tr>
    </w:tbl>
    <w:p w:rsidR="00BA0365" w:rsidRDefault="008D4B2E">
      <w:pPr>
        <w:keepNext/>
        <w:keepLines/>
        <w:spacing w:before="300" w:after="300" w:line="280" w:lineRule="exact"/>
        <w:outlineLvl w:val="4"/>
        <w:rPr>
          <w:rFonts w:ascii="宋体" w:eastAsia="宋体" w:hAnsi="宋体" w:cs="宋体"/>
          <w:b/>
          <w:bCs/>
          <w:sz w:val="18"/>
          <w:szCs w:val="18"/>
        </w:rPr>
      </w:pPr>
      <w:bookmarkStart w:id="423" w:name="_Toc989349"/>
      <w:r>
        <w:rPr>
          <w:rFonts w:ascii="宋体" w:eastAsia="宋体" w:hAnsi="宋体" w:cs="宋体"/>
          <w:b/>
          <w:bCs/>
          <w:sz w:val="18"/>
          <w:szCs w:val="18"/>
        </w:rPr>
        <w:t xml:space="preserve">2） </w:t>
      </w:r>
      <w:proofErr w:type="gramStart"/>
      <w:r>
        <w:rPr>
          <w:rFonts w:ascii="宋体" w:eastAsia="宋体" w:hAnsi="宋体" w:cs="宋体"/>
          <w:b/>
          <w:bCs/>
          <w:sz w:val="18"/>
          <w:szCs w:val="18"/>
        </w:rPr>
        <w:t>按账龄</w:t>
      </w:r>
      <w:proofErr w:type="gramEnd"/>
      <w:r>
        <w:rPr>
          <w:rFonts w:ascii="宋体" w:eastAsia="宋体" w:hAnsi="宋体" w:cs="宋体"/>
          <w:b/>
          <w:bCs/>
          <w:sz w:val="18"/>
          <w:szCs w:val="18"/>
        </w:rPr>
        <w:t>披露</w:t>
      </w:r>
      <w:bookmarkEnd w:id="423"/>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期末账面余额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期初账面余额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1年以内（含1年）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283,794,744.55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401,261,713.16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1至2年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30,383,062.90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65,319,038.82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2至3年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41,101,348.77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63,103,382.71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3年以上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279,880,438.43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252,563,357.37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3至4年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32,630,854.38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4,705,028.42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4至5年</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25,238.27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14,244,802.58</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5年以上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247,224,345.78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233,613,526.37</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635,159,594.65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782,247,492.06</w:t>
            </w:r>
          </w:p>
        </w:tc>
      </w:tr>
    </w:tbl>
    <w:p w:rsidR="00BA0365" w:rsidRDefault="008D4B2E">
      <w:pPr>
        <w:keepNext/>
        <w:keepLines/>
        <w:spacing w:before="300" w:after="300" w:line="280" w:lineRule="exact"/>
        <w:outlineLvl w:val="4"/>
        <w:rPr>
          <w:rFonts w:ascii="宋体" w:eastAsia="宋体" w:hAnsi="宋体" w:cs="宋体"/>
          <w:b/>
          <w:bCs/>
          <w:sz w:val="18"/>
          <w:szCs w:val="18"/>
        </w:rPr>
      </w:pPr>
      <w:bookmarkStart w:id="424" w:name="_Toc989350"/>
      <w:r>
        <w:rPr>
          <w:rFonts w:ascii="宋体" w:eastAsia="宋体" w:hAnsi="宋体" w:cs="宋体"/>
          <w:b/>
          <w:bCs/>
          <w:sz w:val="18"/>
          <w:szCs w:val="18"/>
        </w:rPr>
        <w:t>3） 本期计提、收回或转回的坏账准备情况</w:t>
      </w:r>
      <w:bookmarkEnd w:id="42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本期计提坏账准备情况：</w:t>
      </w:r>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101"/>
        <w:gridCol w:w="1653"/>
        <w:gridCol w:w="1377"/>
        <w:gridCol w:w="1377"/>
        <w:gridCol w:w="1377"/>
        <w:gridCol w:w="1161"/>
        <w:gridCol w:w="1593"/>
      </w:tblGrid>
      <w:tr w:rsidR="00157EA0" w:rsidTr="00C75946">
        <w:trPr>
          <w:trHeight w:val="240"/>
        </w:trPr>
        <w:tc>
          <w:tcPr>
            <w:tcW w:w="11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类别</w:t>
            </w:r>
          </w:p>
        </w:tc>
        <w:tc>
          <w:tcPr>
            <w:tcW w:w="165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c>
          <w:tcPr>
            <w:tcW w:w="5292"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本期变动金额</w:t>
            </w:r>
          </w:p>
        </w:tc>
        <w:tc>
          <w:tcPr>
            <w:tcW w:w="1593"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r>
      <w:tr w:rsidR="00157EA0" w:rsidTr="00C75946">
        <w:trPr>
          <w:trHeight w:val="240"/>
        </w:trPr>
        <w:tc>
          <w:tcPr>
            <w:tcW w:w="11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65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收回或转回</w:t>
            </w:r>
          </w:p>
        </w:tc>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转销或核销</w:t>
            </w:r>
          </w:p>
        </w:tc>
        <w:tc>
          <w:tcPr>
            <w:tcW w:w="116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593"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C75946">
        <w:trPr>
          <w:trHeight w:val="240"/>
        </w:trPr>
        <w:tc>
          <w:tcPr>
            <w:tcW w:w="11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坏账准备</w:t>
            </w:r>
          </w:p>
        </w:tc>
        <w:tc>
          <w:tcPr>
            <w:tcW w:w="165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240,916,505.67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-898,415.12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16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240,018,090.55</w:t>
            </w:r>
          </w:p>
        </w:tc>
      </w:tr>
      <w:tr w:rsidR="00157EA0" w:rsidTr="00C75946">
        <w:trPr>
          <w:trHeight w:val="240"/>
        </w:trPr>
        <w:tc>
          <w:tcPr>
            <w:tcW w:w="11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65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240,916,505.67</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-898,415.12</w:t>
            </w: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37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16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9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240,018,090.55</w:t>
            </w:r>
          </w:p>
        </w:tc>
      </w:tr>
    </w:tbl>
    <w:p w:rsidR="008D4B2E" w:rsidRDefault="008D4B2E">
      <w:pPr>
        <w:pStyle w:val="a3"/>
        <w:spacing w:before="0" w:beforeAutospacing="0" w:after="0" w:afterAutospacing="0" w:line="400" w:lineRule="atLeast"/>
        <w:ind w:right="342" w:firstLine="400"/>
        <w:jc w:val="both"/>
        <w:divId w:val="1856572591"/>
        <w:rPr>
          <w:rFonts w:ascii="Arial" w:hAnsi="Arial" w:cs="Arial"/>
          <w:sz w:val="18"/>
          <w:szCs w:val="18"/>
        </w:rPr>
      </w:pPr>
      <w:r>
        <w:rPr>
          <w:rFonts w:cs="Arial" w:hint="eastAsia"/>
          <w:sz w:val="18"/>
          <w:szCs w:val="18"/>
        </w:rPr>
        <w:t>坏账准备计提情况</w:t>
      </w:r>
    </w:p>
    <w:tbl>
      <w:tblPr>
        <w:tblW w:w="9606" w:type="dxa"/>
        <w:tblCellMar>
          <w:top w:w="15" w:type="dxa"/>
          <w:left w:w="15" w:type="dxa"/>
          <w:bottom w:w="15" w:type="dxa"/>
          <w:right w:w="15" w:type="dxa"/>
        </w:tblCellMar>
        <w:tblLook w:val="04A0" w:firstRow="1" w:lastRow="0" w:firstColumn="1" w:lastColumn="0" w:noHBand="0" w:noVBand="1"/>
      </w:tblPr>
      <w:tblGrid>
        <w:gridCol w:w="2410"/>
        <w:gridCol w:w="1557"/>
        <w:gridCol w:w="1648"/>
        <w:gridCol w:w="1817"/>
        <w:gridCol w:w="2174"/>
      </w:tblGrid>
      <w:tr w:rsidR="008D4B2E" w:rsidTr="00C75946">
        <w:trPr>
          <w:divId w:val="1856572591"/>
        </w:trPr>
        <w:tc>
          <w:tcPr>
            <w:tcW w:w="2410" w:type="dxa"/>
            <w:vMerge w:val="restart"/>
            <w:tcBorders>
              <w:top w:val="single" w:sz="8" w:space="0" w:color="auto"/>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坏账准备</w:t>
            </w:r>
          </w:p>
        </w:tc>
        <w:tc>
          <w:tcPr>
            <w:tcW w:w="1557"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第一阶段</w:t>
            </w:r>
          </w:p>
        </w:tc>
        <w:tc>
          <w:tcPr>
            <w:tcW w:w="1648"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第二阶段</w:t>
            </w:r>
          </w:p>
        </w:tc>
        <w:tc>
          <w:tcPr>
            <w:tcW w:w="1817" w:type="dxa"/>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第三阶段</w:t>
            </w:r>
          </w:p>
        </w:tc>
        <w:tc>
          <w:tcPr>
            <w:tcW w:w="2174" w:type="dxa"/>
            <w:vMerge w:val="restart"/>
            <w:tcBorders>
              <w:top w:val="single" w:sz="8" w:space="0" w:color="auto"/>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合计</w:t>
            </w:r>
          </w:p>
        </w:tc>
      </w:tr>
      <w:tr w:rsidR="008D4B2E" w:rsidTr="00C75946">
        <w:trPr>
          <w:divId w:val="1856572591"/>
        </w:trPr>
        <w:tc>
          <w:tcPr>
            <w:tcW w:w="0" w:type="auto"/>
            <w:vMerge/>
            <w:tcBorders>
              <w:top w:val="single" w:sz="8" w:space="0" w:color="auto"/>
              <w:left w:val="single" w:sz="8" w:space="0" w:color="auto"/>
              <w:bottom w:val="single" w:sz="8" w:space="0" w:color="auto"/>
              <w:right w:val="single" w:sz="8" w:space="0" w:color="auto"/>
            </w:tcBorders>
            <w:vAlign w:val="center"/>
            <w:hideMark/>
          </w:tcPr>
          <w:p w:rsidR="008D4B2E" w:rsidRPr="00D94CE8" w:rsidRDefault="008D4B2E" w:rsidP="00D94CE8">
            <w:pPr>
              <w:spacing w:line="240" w:lineRule="exact"/>
              <w:rPr>
                <w:rFonts w:ascii="宋体" w:eastAsia="宋体" w:hAnsi="宋体" w:cs="宋体"/>
                <w:sz w:val="18"/>
                <w:szCs w:val="18"/>
              </w:rPr>
            </w:pPr>
          </w:p>
        </w:tc>
        <w:tc>
          <w:tcPr>
            <w:tcW w:w="1557" w:type="dxa"/>
            <w:tcBorders>
              <w:top w:val="nil"/>
              <w:left w:val="single" w:sz="8" w:space="0" w:color="auto"/>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pStyle w:val="a3"/>
              <w:spacing w:before="0" w:beforeAutospacing="0" w:after="0" w:afterAutospacing="0" w:line="240" w:lineRule="exact"/>
              <w:jc w:val="center"/>
              <w:rPr>
                <w:kern w:val="2"/>
                <w:sz w:val="18"/>
                <w:szCs w:val="18"/>
              </w:rPr>
            </w:pPr>
            <w:r w:rsidRPr="00D94CE8">
              <w:rPr>
                <w:rFonts w:hint="eastAsia"/>
                <w:kern w:val="2"/>
                <w:sz w:val="18"/>
                <w:szCs w:val="18"/>
              </w:rPr>
              <w:t>未来</w:t>
            </w:r>
            <w:r w:rsidRPr="00D94CE8">
              <w:rPr>
                <w:kern w:val="2"/>
                <w:sz w:val="18"/>
                <w:szCs w:val="18"/>
              </w:rPr>
              <w:t>12</w:t>
            </w:r>
            <w:r w:rsidRPr="00D94CE8">
              <w:rPr>
                <w:rFonts w:hint="eastAsia"/>
                <w:kern w:val="2"/>
                <w:sz w:val="18"/>
                <w:szCs w:val="18"/>
              </w:rPr>
              <w:t>个月预期信用损失</w:t>
            </w:r>
          </w:p>
        </w:tc>
        <w:tc>
          <w:tcPr>
            <w:tcW w:w="1648" w:type="dxa"/>
            <w:tcBorders>
              <w:top w:val="nil"/>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pStyle w:val="a3"/>
              <w:spacing w:before="0" w:beforeAutospacing="0" w:after="0" w:afterAutospacing="0" w:line="240" w:lineRule="exact"/>
              <w:jc w:val="center"/>
              <w:rPr>
                <w:kern w:val="2"/>
                <w:sz w:val="18"/>
                <w:szCs w:val="18"/>
              </w:rPr>
            </w:pPr>
            <w:r w:rsidRPr="00D94CE8">
              <w:rPr>
                <w:rFonts w:hint="eastAsia"/>
                <w:kern w:val="2"/>
                <w:sz w:val="18"/>
                <w:szCs w:val="18"/>
              </w:rPr>
              <w:t>整个存续期预期信用损失（未发生信用减值）</w:t>
            </w:r>
          </w:p>
        </w:tc>
        <w:tc>
          <w:tcPr>
            <w:tcW w:w="1817" w:type="dxa"/>
            <w:tcBorders>
              <w:top w:val="nil"/>
              <w:left w:val="nil"/>
              <w:bottom w:val="single" w:sz="8" w:space="0" w:color="auto"/>
              <w:right w:val="single" w:sz="8" w:space="0" w:color="auto"/>
            </w:tcBorders>
            <w:shd w:val="clear" w:color="auto" w:fill="D3D3D3"/>
            <w:tcMar>
              <w:top w:w="0" w:type="dxa"/>
              <w:left w:w="108" w:type="dxa"/>
              <w:bottom w:w="0" w:type="dxa"/>
              <w:right w:w="108" w:type="dxa"/>
            </w:tcMar>
            <w:vAlign w:val="center"/>
            <w:hideMark/>
          </w:tcPr>
          <w:p w:rsidR="008D4B2E" w:rsidRPr="00D94CE8" w:rsidRDefault="008D4B2E" w:rsidP="00D94CE8">
            <w:pPr>
              <w:pStyle w:val="a3"/>
              <w:spacing w:before="0" w:beforeAutospacing="0" w:after="0" w:afterAutospacing="0" w:line="240" w:lineRule="exact"/>
              <w:jc w:val="center"/>
              <w:rPr>
                <w:kern w:val="2"/>
                <w:sz w:val="18"/>
                <w:szCs w:val="18"/>
              </w:rPr>
            </w:pPr>
            <w:r w:rsidRPr="00D94CE8">
              <w:rPr>
                <w:rFonts w:hint="eastAsia"/>
                <w:kern w:val="2"/>
                <w:sz w:val="18"/>
                <w:szCs w:val="18"/>
              </w:rPr>
              <w:t>整个存续期预期信用损失（已发生信用减值）</w:t>
            </w:r>
          </w:p>
        </w:tc>
        <w:tc>
          <w:tcPr>
            <w:tcW w:w="2174" w:type="dxa"/>
            <w:vMerge/>
            <w:tcBorders>
              <w:top w:val="single" w:sz="8" w:space="0" w:color="auto"/>
              <w:left w:val="nil"/>
              <w:bottom w:val="single" w:sz="8" w:space="0" w:color="auto"/>
              <w:right w:val="single" w:sz="8" w:space="0" w:color="auto"/>
            </w:tcBorders>
            <w:vAlign w:val="center"/>
            <w:hideMark/>
          </w:tcPr>
          <w:p w:rsidR="008D4B2E" w:rsidRPr="00D94CE8" w:rsidRDefault="008D4B2E" w:rsidP="00D94CE8">
            <w:pPr>
              <w:spacing w:line="240" w:lineRule="exact"/>
              <w:rPr>
                <w:rFonts w:ascii="宋体" w:eastAsia="宋体" w:hAnsi="宋体" w:cs="宋体"/>
                <w:sz w:val="18"/>
                <w:szCs w:val="18"/>
              </w:rPr>
            </w:pP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年初余额</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5,102,637.18</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235,813,868.49</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240,916,505.67</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年初其他应收款账面余额在本期：</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sz w:val="18"/>
                <w:szCs w:val="18"/>
              </w:rPr>
              <w:t>——</w:t>
            </w:r>
            <w:r w:rsidRPr="00D94CE8">
              <w:rPr>
                <w:rFonts w:ascii="宋体" w:eastAsia="宋体" w:hAnsi="宋体" w:cs="宋体" w:hint="eastAsia"/>
                <w:sz w:val="18"/>
                <w:szCs w:val="18"/>
              </w:rPr>
              <w:t>转入第二阶段</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sz w:val="18"/>
                <w:szCs w:val="18"/>
              </w:rPr>
              <w:t>——</w:t>
            </w:r>
            <w:r w:rsidRPr="00D94CE8">
              <w:rPr>
                <w:rFonts w:ascii="宋体" w:eastAsia="宋体" w:hAnsi="宋体" w:cs="宋体" w:hint="eastAsia"/>
                <w:sz w:val="18"/>
                <w:szCs w:val="18"/>
              </w:rPr>
              <w:t>转入第三阶段</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sz w:val="18"/>
                <w:szCs w:val="18"/>
              </w:rPr>
              <w:t>——</w:t>
            </w:r>
            <w:r w:rsidRPr="00D94CE8">
              <w:rPr>
                <w:rFonts w:ascii="宋体" w:eastAsia="宋体" w:hAnsi="宋体" w:cs="宋体" w:hint="eastAsia"/>
                <w:sz w:val="18"/>
                <w:szCs w:val="18"/>
              </w:rPr>
              <w:t>转回第二阶段</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sz w:val="18"/>
                <w:szCs w:val="18"/>
              </w:rPr>
              <w:t>——</w:t>
            </w:r>
            <w:r w:rsidRPr="00D94CE8">
              <w:rPr>
                <w:rFonts w:ascii="宋体" w:eastAsia="宋体" w:hAnsi="宋体" w:cs="宋体" w:hint="eastAsia"/>
                <w:sz w:val="18"/>
                <w:szCs w:val="18"/>
              </w:rPr>
              <w:t>转回第一阶段</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本期计提</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-898,415.12</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-898,415.12</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本期转回</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本期转销</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本期核销</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hint="eastAsia"/>
                <w:sz w:val="18"/>
                <w:szCs w:val="18"/>
              </w:rPr>
              <w:t>其他变动</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r>
      <w:tr w:rsidR="008D4B2E" w:rsidTr="00D94CE8">
        <w:trPr>
          <w:divId w:val="1856572591"/>
        </w:trPr>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4B2E" w:rsidRPr="00D94CE8" w:rsidRDefault="008D4B2E" w:rsidP="00D94CE8">
            <w:pPr>
              <w:spacing w:line="240" w:lineRule="exact"/>
              <w:rPr>
                <w:rFonts w:ascii="宋体" w:eastAsia="宋体" w:hAnsi="宋体" w:cs="宋体"/>
                <w:sz w:val="18"/>
                <w:szCs w:val="18"/>
              </w:rPr>
            </w:pPr>
            <w:r w:rsidRPr="00D94CE8">
              <w:rPr>
                <w:rFonts w:ascii="宋体" w:eastAsia="宋体" w:hAnsi="宋体" w:cs="宋体"/>
                <w:sz w:val="18"/>
                <w:szCs w:val="18"/>
              </w:rPr>
              <w:t>2023</w:t>
            </w:r>
            <w:r w:rsidRPr="00D94CE8">
              <w:rPr>
                <w:rFonts w:ascii="宋体" w:eastAsia="宋体" w:hAnsi="宋体" w:cs="宋体" w:hint="eastAsia"/>
                <w:sz w:val="18"/>
                <w:szCs w:val="18"/>
              </w:rPr>
              <w:t>年</w:t>
            </w:r>
            <w:r w:rsidRPr="00D94CE8">
              <w:rPr>
                <w:rFonts w:ascii="宋体" w:eastAsia="宋体" w:hAnsi="宋体" w:cs="宋体"/>
                <w:sz w:val="18"/>
                <w:szCs w:val="18"/>
              </w:rPr>
              <w:t>12</w:t>
            </w:r>
            <w:r w:rsidRPr="00D94CE8">
              <w:rPr>
                <w:rFonts w:ascii="宋体" w:eastAsia="宋体" w:hAnsi="宋体" w:cs="宋体" w:hint="eastAsia"/>
                <w:sz w:val="18"/>
                <w:szCs w:val="18"/>
              </w:rPr>
              <w:t>月</w:t>
            </w:r>
            <w:r w:rsidRPr="00D94CE8">
              <w:rPr>
                <w:rFonts w:ascii="宋体" w:eastAsia="宋体" w:hAnsi="宋体" w:cs="宋体"/>
                <w:sz w:val="18"/>
                <w:szCs w:val="18"/>
              </w:rPr>
              <w:t>31</w:t>
            </w:r>
            <w:r w:rsidRPr="00D94CE8">
              <w:rPr>
                <w:rFonts w:ascii="宋体" w:eastAsia="宋体" w:hAnsi="宋体" w:cs="宋体" w:hint="eastAsia"/>
                <w:sz w:val="18"/>
                <w:szCs w:val="18"/>
              </w:rPr>
              <w:t>日余额</w:t>
            </w:r>
          </w:p>
        </w:tc>
        <w:tc>
          <w:tcPr>
            <w:tcW w:w="15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4,204,222.06</w:t>
            </w:r>
          </w:p>
        </w:tc>
        <w:tc>
          <w:tcPr>
            <w:tcW w:w="16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 </w:t>
            </w:r>
          </w:p>
        </w:tc>
        <w:tc>
          <w:tcPr>
            <w:tcW w:w="18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235,813,868.49</w:t>
            </w:r>
          </w:p>
        </w:tc>
        <w:tc>
          <w:tcPr>
            <w:tcW w:w="21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D4B2E" w:rsidRPr="00D94CE8" w:rsidRDefault="008D4B2E" w:rsidP="00D94CE8">
            <w:pPr>
              <w:spacing w:line="240" w:lineRule="exact"/>
              <w:jc w:val="right"/>
              <w:rPr>
                <w:rFonts w:ascii="宋体" w:eastAsia="宋体" w:hAnsi="宋体" w:cs="宋体"/>
                <w:sz w:val="18"/>
                <w:szCs w:val="18"/>
              </w:rPr>
            </w:pPr>
            <w:r w:rsidRPr="00D94CE8">
              <w:rPr>
                <w:rFonts w:ascii="宋体" w:eastAsia="宋体" w:hAnsi="宋体" w:cs="宋体"/>
                <w:sz w:val="18"/>
                <w:szCs w:val="18"/>
              </w:rPr>
              <w:t>240,018,090.55</w:t>
            </w:r>
          </w:p>
        </w:tc>
      </w:tr>
    </w:tbl>
    <w:p w:rsidR="00BA0365" w:rsidRDefault="008D4B2E">
      <w:pPr>
        <w:keepNext/>
        <w:keepLines/>
        <w:spacing w:before="300" w:after="300" w:line="280" w:lineRule="exact"/>
        <w:outlineLvl w:val="4"/>
        <w:rPr>
          <w:rFonts w:ascii="宋体" w:eastAsia="宋体" w:hAnsi="宋体" w:cs="宋体"/>
          <w:b/>
          <w:bCs/>
          <w:sz w:val="18"/>
          <w:szCs w:val="18"/>
        </w:rPr>
      </w:pPr>
      <w:bookmarkStart w:id="425" w:name="_Toc989351"/>
      <w:r>
        <w:rPr>
          <w:rFonts w:ascii="宋体" w:eastAsia="宋体" w:hAnsi="宋体" w:cs="宋体"/>
          <w:b/>
          <w:bCs/>
          <w:sz w:val="18"/>
          <w:szCs w:val="18"/>
        </w:rPr>
        <w:t>4） 按欠款方归集的期末余额前五名的其他应收款情况</w:t>
      </w:r>
      <w:bookmarkEnd w:id="425"/>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1418"/>
        <w:gridCol w:w="1701"/>
        <w:gridCol w:w="2015"/>
        <w:gridCol w:w="1701"/>
        <w:gridCol w:w="1562"/>
      </w:tblGrid>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单位名称</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款项的性质</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201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账龄</w:t>
            </w:r>
          </w:p>
        </w:tc>
        <w:tc>
          <w:tcPr>
            <w:tcW w:w="170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占其他应收款期末余额合计数的比例</w:t>
            </w:r>
          </w:p>
        </w:tc>
        <w:tc>
          <w:tcPr>
            <w:tcW w:w="156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坏账准备期末余额</w:t>
            </w: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A公司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261,914,509.54</w:t>
            </w:r>
          </w:p>
        </w:tc>
        <w:tc>
          <w:tcPr>
            <w:tcW w:w="201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w:t>
            </w:r>
            <w:r>
              <w:rPr>
                <w:rFonts w:ascii="宋体" w:eastAsia="宋体" w:hAnsi="宋体" w:cs="宋体"/>
                <w:sz w:val="18"/>
                <w:szCs w:val="18"/>
              </w:rPr>
              <w:lastRenderedPageBreak/>
              <w:t>231,914,509.54；</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1-2年10,000,000.00</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3-4年20,000,000.00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lastRenderedPageBreak/>
              <w:t>41.24%</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lastRenderedPageBreak/>
              <w:t>B公司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229,790,604.64</w:t>
            </w:r>
          </w:p>
        </w:tc>
        <w:tc>
          <w:tcPr>
            <w:tcW w:w="201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5年以上</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36.18%</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C公司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36,408,000.00</w:t>
            </w:r>
          </w:p>
        </w:tc>
        <w:tc>
          <w:tcPr>
            <w:tcW w:w="201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2-3年25,290,000.00；</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3-4年11,118,000.00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5.73%</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D公司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32,400,000.00</w:t>
            </w:r>
          </w:p>
        </w:tc>
        <w:tc>
          <w:tcPr>
            <w:tcW w:w="201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1年以内14,353,860.00；</w:t>
            </w:r>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1-2年18,046,140.00</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5.10%</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E公司</w:t>
            </w:r>
          </w:p>
        </w:tc>
        <w:tc>
          <w:tcPr>
            <w:tcW w:w="141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单位往来</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20,000,000.00</w:t>
            </w:r>
          </w:p>
        </w:tc>
        <w:tc>
          <w:tcPr>
            <w:tcW w:w="2015"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1年以内</w:t>
            </w: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3.15%</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B87081">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41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580,513,114.18</w:t>
            </w:r>
          </w:p>
        </w:tc>
        <w:tc>
          <w:tcPr>
            <w:tcW w:w="201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91.40%</w:t>
            </w:r>
          </w:p>
        </w:tc>
        <w:tc>
          <w:tcPr>
            <w:tcW w:w="156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229,790,604.64</w:t>
            </w:r>
          </w:p>
        </w:tc>
      </w:tr>
    </w:tbl>
    <w:p w:rsidR="00BA0365" w:rsidRDefault="008D4B2E">
      <w:pPr>
        <w:keepNext/>
        <w:keepLines/>
        <w:spacing w:before="300" w:after="300" w:line="280" w:lineRule="exact"/>
        <w:outlineLvl w:val="4"/>
        <w:rPr>
          <w:rFonts w:ascii="宋体" w:eastAsia="宋体" w:hAnsi="宋体" w:cs="宋体"/>
          <w:b/>
          <w:bCs/>
          <w:sz w:val="18"/>
          <w:szCs w:val="18"/>
        </w:rPr>
      </w:pPr>
      <w:bookmarkStart w:id="426" w:name="_Toc989352"/>
      <w:r>
        <w:rPr>
          <w:rFonts w:ascii="宋体" w:eastAsia="宋体" w:hAnsi="宋体" w:cs="宋体"/>
          <w:b/>
          <w:bCs/>
          <w:sz w:val="18"/>
          <w:szCs w:val="18"/>
        </w:rPr>
        <w:t>5） 因资金集中管理而列报于其他应收款</w:t>
      </w:r>
      <w:bookmarkEnd w:id="426"/>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820"/>
        <w:gridCol w:w="4819"/>
      </w:tblGrid>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因资金集中管理而列报于其他应收款的金额</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243,468,053.72</w:t>
            </w:r>
          </w:p>
        </w:tc>
      </w:tr>
      <w:tr w:rsidR="00157EA0">
        <w:trPr>
          <w:trHeight w:val="240"/>
        </w:trPr>
        <w:tc>
          <w:tcPr>
            <w:tcW w:w="482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情况说明</w:t>
            </w:r>
          </w:p>
        </w:tc>
        <w:tc>
          <w:tcPr>
            <w:tcW w:w="482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均为集团合并范围内公司，合并层面已</w:t>
            </w:r>
            <w:proofErr w:type="gramStart"/>
            <w:r>
              <w:rPr>
                <w:rFonts w:ascii="宋体" w:eastAsia="宋体" w:hAnsi="宋体" w:cs="宋体"/>
                <w:sz w:val="18"/>
                <w:szCs w:val="18"/>
              </w:rPr>
              <w:t>抵销</w:t>
            </w:r>
            <w:proofErr w:type="gramEnd"/>
          </w:p>
        </w:tc>
      </w:tr>
    </w:tbl>
    <w:p w:rsidR="00BA0365" w:rsidRDefault="008D4B2E">
      <w:pPr>
        <w:pStyle w:val="3"/>
        <w:spacing w:line="280" w:lineRule="exact"/>
        <w:jc w:val="left"/>
        <w:rPr>
          <w:rFonts w:ascii="宋体" w:hAnsi="宋体" w:cs="宋体"/>
          <w:b/>
          <w:bCs/>
        </w:rPr>
      </w:pPr>
      <w:bookmarkStart w:id="427" w:name="_Toc989353"/>
      <w:r>
        <w:rPr>
          <w:rFonts w:ascii="宋体" w:hAnsi="宋体" w:cs="宋体"/>
          <w:b/>
          <w:bCs/>
        </w:rPr>
        <w:t>3、长期股权投资</w:t>
      </w:r>
      <w:bookmarkEnd w:id="427"/>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377"/>
        <w:gridCol w:w="1708"/>
        <w:gridCol w:w="709"/>
        <w:gridCol w:w="1714"/>
        <w:gridCol w:w="1688"/>
        <w:gridCol w:w="709"/>
        <w:gridCol w:w="1734"/>
      </w:tblGrid>
      <w:tr w:rsidR="00157EA0">
        <w:trPr>
          <w:trHeight w:val="240"/>
        </w:trPr>
        <w:tc>
          <w:tcPr>
            <w:tcW w:w="1377"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w:t>
            </w:r>
          </w:p>
        </w:tc>
        <w:tc>
          <w:tcPr>
            <w:tcW w:w="4131" w:type="dxa"/>
            <w:gridSpan w:val="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w:t>
            </w:r>
          </w:p>
        </w:tc>
      </w:tr>
      <w:tr w:rsidR="00157EA0" w:rsidTr="00C75946">
        <w:trPr>
          <w:trHeight w:val="240"/>
        </w:trPr>
        <w:tc>
          <w:tcPr>
            <w:tcW w:w="1377"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71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c>
          <w:tcPr>
            <w:tcW w:w="168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账面余额</w:t>
            </w:r>
          </w:p>
        </w:tc>
        <w:tc>
          <w:tcPr>
            <w:tcW w:w="709"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w:t>
            </w:r>
          </w:p>
        </w:tc>
        <w:tc>
          <w:tcPr>
            <w:tcW w:w="173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账面价值</w:t>
            </w:r>
          </w:p>
        </w:tc>
      </w:tr>
      <w:tr w:rsidR="00157EA0" w:rsidTr="00C75946">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对子公司投资</w:t>
            </w:r>
          </w:p>
        </w:tc>
        <w:tc>
          <w:tcPr>
            <w:tcW w:w="1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4,771,133,098.37</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4,771,133,098.37</w:t>
            </w:r>
          </w:p>
        </w:tc>
        <w:tc>
          <w:tcPr>
            <w:tcW w:w="168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4,391,386,124.89</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4,391,386,124.89</w:t>
            </w:r>
          </w:p>
        </w:tc>
      </w:tr>
      <w:tr w:rsidR="00157EA0" w:rsidTr="00C75946">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对联营、合营企业投资</w:t>
            </w:r>
          </w:p>
        </w:tc>
        <w:tc>
          <w:tcPr>
            <w:tcW w:w="1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168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73,671,019.34</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73,671,019.34</w:t>
            </w:r>
          </w:p>
        </w:tc>
      </w:tr>
      <w:tr w:rsidR="00157EA0" w:rsidTr="00C75946">
        <w:trPr>
          <w:trHeight w:val="240"/>
        </w:trPr>
        <w:tc>
          <w:tcPr>
            <w:tcW w:w="137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4,845,782,827.66</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1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4,845,782,827.66</w:t>
            </w:r>
          </w:p>
        </w:tc>
        <w:tc>
          <w:tcPr>
            <w:tcW w:w="168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4,465,057,144.23</w:t>
            </w:r>
          </w:p>
        </w:tc>
        <w:tc>
          <w:tcPr>
            <w:tcW w:w="709"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4,465,057,144.23</w:t>
            </w:r>
          </w:p>
        </w:tc>
      </w:tr>
    </w:tbl>
    <w:p w:rsidR="00BA0365" w:rsidRDefault="008D4B2E">
      <w:pPr>
        <w:keepNext/>
        <w:keepLines/>
        <w:spacing w:before="300" w:after="300" w:line="280" w:lineRule="exact"/>
        <w:outlineLvl w:val="3"/>
        <w:rPr>
          <w:rFonts w:ascii="宋体" w:eastAsia="宋体" w:hAnsi="宋体" w:cs="宋体"/>
          <w:b/>
          <w:bCs/>
          <w:szCs w:val="21"/>
        </w:rPr>
      </w:pPr>
      <w:bookmarkStart w:id="428" w:name="_Toc989354"/>
      <w:r>
        <w:rPr>
          <w:rFonts w:ascii="宋体" w:eastAsia="宋体" w:hAnsi="宋体" w:cs="宋体"/>
          <w:b/>
          <w:bCs/>
          <w:szCs w:val="21"/>
        </w:rPr>
        <w:t>（1） 对子公司投资</w:t>
      </w:r>
      <w:bookmarkEnd w:id="428"/>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242"/>
        <w:gridCol w:w="1560"/>
        <w:gridCol w:w="708"/>
        <w:gridCol w:w="1560"/>
        <w:gridCol w:w="708"/>
        <w:gridCol w:w="851"/>
        <w:gridCol w:w="567"/>
        <w:gridCol w:w="1701"/>
        <w:gridCol w:w="742"/>
      </w:tblGrid>
      <w:tr w:rsidR="00157EA0" w:rsidTr="00C75946">
        <w:trPr>
          <w:trHeight w:val="240"/>
        </w:trPr>
        <w:tc>
          <w:tcPr>
            <w:tcW w:w="12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w:t>
            </w:r>
          </w:p>
        </w:tc>
        <w:tc>
          <w:tcPr>
            <w:tcW w:w="1560"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0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3686" w:type="dxa"/>
            <w:gridSpan w:val="4"/>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742"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157EA0" w:rsidTr="00C75946">
        <w:trPr>
          <w:trHeight w:val="240"/>
        </w:trPr>
        <w:tc>
          <w:tcPr>
            <w:tcW w:w="12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560"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08"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156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70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85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567"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170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2"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软控机电</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2,917,148,618.17</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27,205,281.99</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2,944,353,900.16</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计量检测</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2,645,493.75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222,535.00</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2,868,028.75</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海</w:t>
            </w:r>
            <w:proofErr w:type="gramStart"/>
            <w:r>
              <w:rPr>
                <w:rFonts w:ascii="宋体" w:eastAsia="宋体" w:hAnsi="宋体" w:cs="宋体"/>
                <w:sz w:val="18"/>
                <w:szCs w:val="18"/>
              </w:rPr>
              <w:t>威物联</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8,131,116.65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593,426.66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8,724,543.31</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海科科技</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21,770,850.02</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9,722,763.34</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31,493,613.36</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联合科技</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61,517,064.15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101,640,780.66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163,157,844.81</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科捷自动化</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51,350,035.77</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18,205,178.18</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69,555,213.95</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华控能源</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5,241,666.67</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5,241,666.67</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抚顺伊科思</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347,323,291.65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1,483,566.66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348,806,858.31</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益</w:t>
            </w:r>
            <w:proofErr w:type="gramStart"/>
            <w:r>
              <w:rPr>
                <w:rFonts w:ascii="宋体" w:eastAsia="宋体" w:hAnsi="宋体" w:cs="宋体"/>
                <w:sz w:val="18"/>
                <w:szCs w:val="18"/>
              </w:rPr>
              <w:t>凯</w:t>
            </w:r>
            <w:proofErr w:type="gramEnd"/>
            <w:r>
              <w:rPr>
                <w:rFonts w:ascii="宋体" w:eastAsia="宋体" w:hAnsi="宋体" w:cs="宋体"/>
                <w:sz w:val="18"/>
                <w:szCs w:val="18"/>
              </w:rPr>
              <w:t>新材料</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417,623,449.57</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7,135,955.66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424,759,405.23</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软控欧研</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20,136,554.99</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20,136,554.99</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软控（美洲）</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76,277,965.00</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76,277,965.00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智能装备</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w:t>
            </w:r>
            <w:r>
              <w:rPr>
                <w:rFonts w:ascii="宋体" w:eastAsia="宋体" w:hAnsi="宋体" w:cs="宋体"/>
                <w:sz w:val="18"/>
                <w:szCs w:val="18"/>
              </w:rPr>
              <w:lastRenderedPageBreak/>
              <w:t>.00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lastRenderedPageBreak/>
              <w:t>优享供应</w:t>
            </w:r>
            <w:proofErr w:type="gramEnd"/>
            <w:r>
              <w:rPr>
                <w:rFonts w:ascii="宋体" w:eastAsia="宋体" w:hAnsi="宋体" w:cs="宋体"/>
                <w:sz w:val="18"/>
                <w:szCs w:val="18"/>
              </w:rPr>
              <w:t>链</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82,329.15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603,355.41</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685,684.56</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软控科技</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12,137,689.35</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1,483,566.66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13,621,256.01</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盘锦伊科思</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420,000,000.00</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proofErr w:type="gramStart"/>
            <w:r>
              <w:rPr>
                <w:rFonts w:ascii="宋体" w:eastAsia="宋体" w:hAnsi="宋体" w:cs="宋体"/>
                <w:sz w:val="18"/>
                <w:szCs w:val="18"/>
              </w:rPr>
              <w:t>软控诸暨</w:t>
            </w:r>
            <w:proofErr w:type="gramEnd"/>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241,450,563.26</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241,450,563.26</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rsidTr="00C75946">
        <w:trPr>
          <w:trHeight w:val="240"/>
        </w:trPr>
        <w:tc>
          <w:tcPr>
            <w:tcW w:w="124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4,391,386,124.89</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56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409,746,973.48</w:t>
            </w:r>
          </w:p>
        </w:tc>
        <w:tc>
          <w:tcPr>
            <w:tcW w:w="70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30,000,000.00</w:t>
            </w:r>
          </w:p>
        </w:tc>
        <w:tc>
          <w:tcPr>
            <w:tcW w:w="85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567"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170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4,771,133,098.37</w:t>
            </w:r>
          </w:p>
        </w:tc>
        <w:tc>
          <w:tcPr>
            <w:tcW w:w="742"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keepNext/>
        <w:keepLines/>
        <w:spacing w:before="300" w:after="300" w:line="280" w:lineRule="exact"/>
        <w:outlineLvl w:val="3"/>
        <w:rPr>
          <w:rFonts w:ascii="宋体" w:eastAsia="宋体" w:hAnsi="宋体" w:cs="宋体"/>
          <w:b/>
          <w:bCs/>
          <w:szCs w:val="21"/>
        </w:rPr>
      </w:pPr>
      <w:bookmarkStart w:id="429" w:name="_Toc989355"/>
      <w:r>
        <w:rPr>
          <w:rFonts w:ascii="宋体" w:eastAsia="宋体" w:hAnsi="宋体" w:cs="宋体"/>
          <w:b/>
          <w:bCs/>
          <w:szCs w:val="21"/>
        </w:rPr>
        <w:t>（2） 对联营、合营企业投资</w:t>
      </w:r>
      <w:bookmarkEnd w:id="429"/>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741"/>
        <w:gridCol w:w="741"/>
        <w:gridCol w:w="741"/>
        <w:gridCol w:w="741"/>
        <w:gridCol w:w="741"/>
        <w:gridCol w:w="741"/>
        <w:gridCol w:w="741"/>
        <w:gridCol w:w="741"/>
        <w:gridCol w:w="741"/>
        <w:gridCol w:w="741"/>
        <w:gridCol w:w="745"/>
        <w:gridCol w:w="741"/>
        <w:gridCol w:w="743"/>
      </w:tblGrid>
      <w:tr w:rsidR="00157EA0">
        <w:trPr>
          <w:trHeight w:val="240"/>
        </w:trPr>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被投资单位</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期初余额（账面价值）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减值准备期初余额</w:t>
            </w:r>
          </w:p>
        </w:tc>
        <w:tc>
          <w:tcPr>
            <w:tcW w:w="5932" w:type="dxa"/>
            <w:gridSpan w:val="8"/>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本期增减变动</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期末余额（账面价值）</w:t>
            </w:r>
          </w:p>
        </w:tc>
        <w:tc>
          <w:tcPr>
            <w:tcW w:w="741"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减值准备期末余额</w:t>
            </w:r>
          </w:p>
        </w:tc>
      </w:tr>
      <w:tr w:rsidR="00157EA0">
        <w:trPr>
          <w:trHeight w:val="240"/>
        </w:trPr>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vAlign w:val="center"/>
          </w:tcPr>
          <w:p w:rsidR="00BA0365" w:rsidRDefault="00BA0365"/>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追加投资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减少投资</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权益法下确认的投资损益</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其他综合收益调整</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其他权益变动</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宣告发放现金股利或利润</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计提减值准备</w:t>
            </w:r>
          </w:p>
        </w:tc>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其他</w:t>
            </w:r>
          </w:p>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741"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r>
      <w:tr w:rsidR="00157EA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一、合营企业</w:t>
            </w:r>
          </w:p>
        </w:tc>
      </w:tr>
      <w:tr w:rsidR="00157EA0">
        <w:trPr>
          <w:trHeight w:val="240"/>
        </w:trPr>
        <w:tc>
          <w:tcPr>
            <w:tcW w:w="9639" w:type="dxa"/>
            <w:gridSpan w:val="13"/>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二、联营企业</w:t>
            </w: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青岛青维科技发展有限公司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9,903,310.89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-163.19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9,903,147.70</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青岛华商汇通控股有限公司</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63,767,708.45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978,873.14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64,746,581.59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小计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73,671,019.34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978,709.95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741"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73,671,019.34</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978,709.95</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74,649,729.29</w:t>
            </w:r>
          </w:p>
        </w:tc>
        <w:tc>
          <w:tcPr>
            <w:tcW w:w="741"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可收回金额按公允价值减去处置费用后的净额确定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可收回金额按预计未来现金流量的现值确定</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430" w:name="_Toc989356"/>
      <w:r>
        <w:rPr>
          <w:rFonts w:ascii="宋体" w:eastAsia="宋体" w:hAnsi="宋体" w:cs="宋体"/>
          <w:b/>
          <w:bCs/>
          <w:szCs w:val="21"/>
        </w:rPr>
        <w:t>（3） 其他说明</w:t>
      </w:r>
      <w:bookmarkEnd w:id="430"/>
    </w:p>
    <w:p w:rsidR="00BA0365" w:rsidRDefault="008D4B2E">
      <w:pPr>
        <w:pStyle w:val="3"/>
        <w:spacing w:line="280" w:lineRule="exact"/>
        <w:jc w:val="left"/>
        <w:rPr>
          <w:rFonts w:ascii="宋体" w:hAnsi="宋体" w:cs="宋体"/>
          <w:b/>
          <w:bCs/>
        </w:rPr>
      </w:pPr>
      <w:bookmarkStart w:id="431" w:name="_Toc989357"/>
      <w:r>
        <w:rPr>
          <w:rFonts w:ascii="宋体" w:hAnsi="宋体" w:cs="宋体"/>
          <w:b/>
          <w:bCs/>
        </w:rPr>
        <w:t>4、营业收入和营业成本</w:t>
      </w:r>
      <w:bookmarkEnd w:id="431"/>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1927"/>
        <w:gridCol w:w="1928"/>
        <w:gridCol w:w="1928"/>
        <w:gridCol w:w="1928"/>
        <w:gridCol w:w="1928"/>
      </w:tblGrid>
      <w:tr w:rsidR="00157EA0">
        <w:trPr>
          <w:trHeight w:val="240"/>
        </w:trPr>
        <w:tc>
          <w:tcPr>
            <w:tcW w:w="1928"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856"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1928"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收入</w:t>
            </w:r>
          </w:p>
        </w:tc>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成本</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lastRenderedPageBreak/>
              <w:t>主营业务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221,671,313.94</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15,913,333.25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249,588,493.82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61,806,270.11</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其他业务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6,968,568.68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2,519,683.15</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5,583,222.48</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429,964.98</w:t>
            </w:r>
          </w:p>
        </w:tc>
      </w:tr>
      <w:tr w:rsidR="00157EA0">
        <w:trPr>
          <w:trHeight w:val="240"/>
        </w:trPr>
        <w:tc>
          <w:tcPr>
            <w:tcW w:w="1928"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228,639,882.62</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18,433,016.40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255,171,716.30</w:t>
            </w:r>
          </w:p>
        </w:tc>
        <w:tc>
          <w:tcPr>
            <w:tcW w:w="1928"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62,236,235.09</w:t>
            </w:r>
          </w:p>
        </w:tc>
      </w:tr>
    </w:tbl>
    <w:p w:rsidR="00BA0365" w:rsidRDefault="008D4B2E">
      <w:pPr>
        <w:pStyle w:val="3"/>
        <w:spacing w:line="280" w:lineRule="exact"/>
        <w:jc w:val="left"/>
        <w:rPr>
          <w:rFonts w:ascii="宋体" w:hAnsi="宋体" w:cs="宋体"/>
          <w:b/>
          <w:bCs/>
        </w:rPr>
      </w:pPr>
      <w:bookmarkStart w:id="432" w:name="_Toc989358"/>
      <w:r>
        <w:rPr>
          <w:rFonts w:ascii="宋体" w:hAnsi="宋体" w:cs="宋体"/>
          <w:b/>
          <w:bCs/>
        </w:rPr>
        <w:t>5、投资收益</w:t>
      </w:r>
      <w:bookmarkEnd w:id="432"/>
    </w:p>
    <w:p w:rsidR="00BA0365" w:rsidRDefault="008D4B2E">
      <w:pPr>
        <w:spacing w:before="40" w:after="4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3213"/>
        <w:gridCol w:w="3213"/>
        <w:gridCol w:w="3213"/>
      </w:tblGrid>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本期发生额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上期发生额</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权益法核算的长期股权投资收益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978,709.95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1,036,754.42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处置长期股权投资产生的投资收益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21,000,000.00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处置交易性金融资产取得的投资收益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-9,712,107.65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其他权益工具投资在持有期间取得的股利收入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13,100,000.00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9,757,669.41</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债权投资在持有期间取得的利息收入</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7,696,222.33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8,114,454.12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理财收益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5,169,336.30</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3,043,833.72</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债务重组损益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-1,036,036.96</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子公司宣告分红取得的投资收益</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jc w:val="right"/>
              <w:rPr>
                <w:rFonts w:ascii="宋体" w:eastAsia="宋体" w:hAnsi="宋体" w:cs="宋体"/>
                <w:sz w:val="18"/>
                <w:szCs w:val="18"/>
              </w:rPr>
            </w:pP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1,530,000.00</w:t>
            </w:r>
          </w:p>
        </w:tc>
      </w:tr>
      <w:tr w:rsidR="00157EA0">
        <w:trPr>
          <w:trHeight w:val="240"/>
        </w:trPr>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38,232,160.93</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22,446,674.71</w:t>
            </w:r>
          </w:p>
        </w:tc>
      </w:tr>
    </w:tbl>
    <w:p w:rsidR="00BA0365" w:rsidRDefault="008D4B2E">
      <w:pPr>
        <w:pStyle w:val="2"/>
        <w:spacing w:before="300" w:after="300" w:line="320" w:lineRule="exact"/>
        <w:rPr>
          <w:rFonts w:ascii="宋体" w:eastAsia="宋体" w:hAnsi="宋体" w:cs="宋体"/>
          <w:b/>
          <w:bCs/>
          <w:sz w:val="24"/>
          <w:szCs w:val="24"/>
        </w:rPr>
      </w:pPr>
      <w:bookmarkStart w:id="433" w:name="_Toc989360"/>
      <w:r>
        <w:rPr>
          <w:rFonts w:ascii="宋体" w:eastAsia="宋体" w:hAnsi="宋体" w:cs="宋体"/>
          <w:b/>
          <w:bCs/>
          <w:sz w:val="24"/>
          <w:szCs w:val="24"/>
        </w:rPr>
        <w:t>二十、补充资料</w:t>
      </w:r>
      <w:bookmarkEnd w:id="433"/>
    </w:p>
    <w:p w:rsidR="00BA0365" w:rsidRDefault="008D4B2E">
      <w:pPr>
        <w:pStyle w:val="3"/>
        <w:spacing w:line="280" w:lineRule="exact"/>
        <w:jc w:val="left"/>
        <w:rPr>
          <w:rFonts w:ascii="宋体" w:hAnsi="宋体" w:cs="宋体"/>
          <w:b/>
          <w:bCs/>
        </w:rPr>
      </w:pPr>
      <w:bookmarkStart w:id="434" w:name="_Toc989361"/>
      <w:r>
        <w:rPr>
          <w:rFonts w:ascii="宋体" w:hAnsi="宋体" w:cs="宋体"/>
          <w:b/>
          <w:bCs/>
        </w:rPr>
        <w:t>1、当期非经常性损益明细表</w:t>
      </w:r>
      <w:bookmarkEnd w:id="434"/>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sym w:font="Wingdings 2" w:char="F052"/>
      </w:r>
      <w:r>
        <w:rPr>
          <w:rFonts w:ascii="宋体" w:eastAsia="宋体" w:hAnsi="宋体" w:cs="宋体"/>
          <w:sz w:val="18"/>
          <w:szCs w:val="18"/>
        </w:rPr>
        <w:t>适用 □不适用</w:t>
      </w:r>
    </w:p>
    <w:p w:rsidR="00BA0365" w:rsidRDefault="008D4B2E">
      <w:pPr>
        <w:spacing w:before="120" w:after="120" w:line="240" w:lineRule="exact"/>
        <w:jc w:val="right"/>
        <w:rPr>
          <w:rFonts w:ascii="宋体" w:eastAsia="宋体" w:hAnsi="宋体" w:cs="宋体"/>
          <w:sz w:val="18"/>
          <w:szCs w:val="18"/>
        </w:rPr>
      </w:pPr>
      <w:r>
        <w:rPr>
          <w:rFonts w:ascii="宋体" w:eastAsia="宋体" w:hAnsi="宋体" w:cs="宋体"/>
          <w:sz w:val="18"/>
          <w:szCs w:val="18"/>
        </w:rPr>
        <w:t>单位：元</w:t>
      </w:r>
    </w:p>
    <w:tbl>
      <w:tblPr>
        <w:tblW w:w="9639" w:type="dxa"/>
        <w:tblLayout w:type="fixed"/>
        <w:tblLook w:val="04A0" w:firstRow="1" w:lastRow="0" w:firstColumn="1" w:lastColumn="0" w:noHBand="0" w:noVBand="1"/>
      </w:tblPr>
      <w:tblGrid>
        <w:gridCol w:w="4644"/>
        <w:gridCol w:w="1782"/>
        <w:gridCol w:w="3213"/>
      </w:tblGrid>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项目</w:t>
            </w:r>
          </w:p>
        </w:tc>
        <w:tc>
          <w:tcPr>
            <w:tcW w:w="1782"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金额</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说明</w:t>
            </w: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非流动性资产处置损益</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1,439,983.31</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计入当期损益的政府补助（与公司正常经营业务密切相关，符合国家政策规定、按照确定的标准享有、对公司损益产生持续影响的政府补助除外）</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32,553,445.69</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除同公司正常经营业务相关的有效套期保值业务外，非金融企业持有金融资产和金融负债产生的公允价值变动损益以及处置金融资产和金融负债产生的损益</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-9,712,107.65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主要为本年度持有基金清算所致</w:t>
            </w: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委托他人投资或管理资产的损益</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51,322,270.12</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本期变动主要是由于理财收益增多所致</w:t>
            </w: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单独进行减值测试的应收款项减值准备转回</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10,638,414.26</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本期变动主要是由于收回前期单项计提应收账款所致</w:t>
            </w: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债务重组损益</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1,589,274.07</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rPr>
                <w:rFonts w:ascii="宋体" w:eastAsia="宋体" w:hAnsi="宋体" w:cs="宋体"/>
                <w:sz w:val="18"/>
                <w:szCs w:val="18"/>
              </w:rPr>
            </w:pPr>
            <w:r>
              <w:rPr>
                <w:rFonts w:ascii="宋体" w:eastAsia="宋体" w:hAnsi="宋体" w:cs="宋体"/>
                <w:sz w:val="18"/>
                <w:szCs w:val="18"/>
              </w:rPr>
              <w:t>本期变动主要是由于与客户进行的债权债务重组行为较少所致</w:t>
            </w: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除上述各项之外的其他营业外收入和支出</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-89,289.14</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减：所得税影响额</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13,706,420.35</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ind w:firstLineChars="200" w:firstLine="360"/>
              <w:rPr>
                <w:rFonts w:ascii="宋体" w:eastAsia="宋体" w:hAnsi="宋体" w:cs="宋体"/>
                <w:sz w:val="18"/>
                <w:szCs w:val="18"/>
              </w:rPr>
            </w:pPr>
            <w:r>
              <w:rPr>
                <w:rFonts w:ascii="宋体" w:eastAsia="宋体" w:hAnsi="宋体" w:cs="宋体"/>
                <w:sz w:val="18"/>
                <w:szCs w:val="18"/>
              </w:rPr>
              <w:t>少数股东权益影响额（税后）</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3,597,318.58</w:t>
            </w:r>
          </w:p>
        </w:tc>
        <w:tc>
          <w:tcPr>
            <w:tcW w:w="3213" w:type="dxa"/>
            <w:tcBorders>
              <w:top w:val="single" w:sz="2" w:space="0" w:color="auto"/>
              <w:left w:val="single" w:sz="2" w:space="0" w:color="auto"/>
              <w:bottom w:val="single" w:sz="2" w:space="0" w:color="auto"/>
              <w:right w:val="single" w:sz="2" w:space="0" w:color="auto"/>
            </w:tcBorders>
            <w:vAlign w:val="center"/>
          </w:tcPr>
          <w:p w:rsidR="00BA0365" w:rsidRDefault="00BA0365">
            <w:pPr>
              <w:spacing w:line="240" w:lineRule="exact"/>
              <w:rPr>
                <w:rFonts w:ascii="宋体" w:eastAsia="宋体" w:hAnsi="宋体" w:cs="宋体"/>
                <w:sz w:val="18"/>
                <w:szCs w:val="18"/>
              </w:rPr>
            </w:pPr>
          </w:p>
        </w:tc>
      </w:tr>
      <w:tr w:rsidR="00157EA0" w:rsidTr="00C75946">
        <w:trPr>
          <w:trHeight w:val="240"/>
        </w:trPr>
        <w:tc>
          <w:tcPr>
            <w:tcW w:w="4644"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合计</w:t>
            </w:r>
          </w:p>
        </w:tc>
        <w:tc>
          <w:tcPr>
            <w:tcW w:w="1782"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70,438,251.73</w:t>
            </w:r>
          </w:p>
        </w:tc>
        <w:tc>
          <w:tcPr>
            <w:tcW w:w="3213"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w:t>
            </w:r>
          </w:p>
        </w:tc>
      </w:tr>
    </w:tbl>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其他符合非经常性损益定义的损益项目的具体情况：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公司不存在其他符合非经常性损益定义的损益项目的具体情况。</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lastRenderedPageBreak/>
        <w:t>将《公开发行证券的公司信息披露解释性公告第1号——非经常性损益》中列举的非经常性损益项目界定为经常性损益项目的情况说明</w:t>
      </w:r>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pStyle w:val="3"/>
        <w:spacing w:line="280" w:lineRule="exact"/>
        <w:jc w:val="left"/>
        <w:rPr>
          <w:rFonts w:ascii="宋体" w:hAnsi="宋体" w:cs="宋体"/>
          <w:b/>
          <w:bCs/>
        </w:rPr>
      </w:pPr>
      <w:bookmarkStart w:id="435" w:name="_Toc989362"/>
      <w:r>
        <w:rPr>
          <w:rFonts w:ascii="宋体" w:hAnsi="宋体" w:cs="宋体"/>
          <w:b/>
          <w:bCs/>
        </w:rPr>
        <w:t>2、净资产收益率及每股收益</w:t>
      </w:r>
      <w:bookmarkEnd w:id="435"/>
    </w:p>
    <w:tbl>
      <w:tblPr>
        <w:tblW w:w="9639" w:type="dxa"/>
        <w:tblLayout w:type="fixed"/>
        <w:tblLook w:val="04A0" w:firstRow="1" w:lastRow="0" w:firstColumn="1" w:lastColumn="0" w:noHBand="0" w:noVBand="1"/>
      </w:tblPr>
      <w:tblGrid>
        <w:gridCol w:w="3085"/>
        <w:gridCol w:w="1734"/>
        <w:gridCol w:w="2410"/>
        <w:gridCol w:w="2410"/>
      </w:tblGrid>
      <w:tr w:rsidR="00157EA0" w:rsidTr="00C75946">
        <w:trPr>
          <w:trHeight w:val="240"/>
        </w:trPr>
        <w:tc>
          <w:tcPr>
            <w:tcW w:w="3085"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报告期利润</w:t>
            </w:r>
          </w:p>
        </w:tc>
        <w:tc>
          <w:tcPr>
            <w:tcW w:w="1734" w:type="dxa"/>
            <w:vMerge w:val="restart"/>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加权平均净资产收益率</w:t>
            </w:r>
          </w:p>
        </w:tc>
        <w:tc>
          <w:tcPr>
            <w:tcW w:w="4820" w:type="dxa"/>
            <w:gridSpan w:val="2"/>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每股收益</w:t>
            </w:r>
          </w:p>
        </w:tc>
      </w:tr>
      <w:tr w:rsidR="00157EA0" w:rsidTr="00C75946">
        <w:trPr>
          <w:trHeight w:val="240"/>
        </w:trPr>
        <w:tc>
          <w:tcPr>
            <w:tcW w:w="3085"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1734" w:type="dxa"/>
            <w:vMerge/>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BA0365"/>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基本每股收益（元/股）</w:t>
            </w:r>
          </w:p>
        </w:tc>
        <w:tc>
          <w:tcPr>
            <w:tcW w:w="2410"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jc w:val="center"/>
              <w:rPr>
                <w:rFonts w:ascii="宋体" w:eastAsia="宋体" w:hAnsi="宋体" w:cs="宋体"/>
                <w:sz w:val="18"/>
                <w:szCs w:val="18"/>
              </w:rPr>
            </w:pPr>
            <w:r>
              <w:rPr>
                <w:rFonts w:ascii="宋体" w:eastAsia="宋体" w:hAnsi="宋体" w:cs="宋体"/>
                <w:sz w:val="18"/>
                <w:szCs w:val="18"/>
              </w:rPr>
              <w:t>稀释每股收益（元/股）</w:t>
            </w:r>
          </w:p>
        </w:tc>
      </w:tr>
      <w:tr w:rsidR="00157EA0" w:rsidTr="00C75946">
        <w:trPr>
          <w:trHeight w:val="240"/>
        </w:trPr>
        <w:tc>
          <w:tcPr>
            <w:tcW w:w="308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归属于公司普通股股东的净利润</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6.63%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0.3486</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0.3552</w:t>
            </w:r>
          </w:p>
        </w:tc>
      </w:tr>
      <w:tr w:rsidR="00157EA0" w:rsidTr="00C75946">
        <w:trPr>
          <w:trHeight w:val="240"/>
        </w:trPr>
        <w:tc>
          <w:tcPr>
            <w:tcW w:w="3085" w:type="dxa"/>
            <w:tcBorders>
              <w:top w:val="single" w:sz="2" w:space="0" w:color="auto"/>
              <w:left w:val="single" w:sz="2" w:space="0" w:color="auto"/>
              <w:bottom w:val="single" w:sz="2" w:space="0" w:color="auto"/>
              <w:right w:val="single" w:sz="2" w:space="0" w:color="auto"/>
            </w:tcBorders>
            <w:shd w:val="clear" w:color="auto" w:fill="D3D3D3"/>
            <w:vAlign w:val="center"/>
          </w:tcPr>
          <w:p w:rsidR="00BA0365" w:rsidRDefault="008D4B2E">
            <w:pPr>
              <w:spacing w:before="40" w:after="40" w:line="240" w:lineRule="exact"/>
              <w:rPr>
                <w:rFonts w:ascii="宋体" w:eastAsia="宋体" w:hAnsi="宋体" w:cs="宋体"/>
                <w:sz w:val="18"/>
                <w:szCs w:val="18"/>
              </w:rPr>
            </w:pPr>
            <w:r>
              <w:rPr>
                <w:rFonts w:ascii="宋体" w:eastAsia="宋体" w:hAnsi="宋体" w:cs="宋体"/>
                <w:sz w:val="18"/>
                <w:szCs w:val="18"/>
              </w:rPr>
              <w:t>扣除非经常性损益后归属于公司普通股股东的净利润</w:t>
            </w:r>
          </w:p>
        </w:tc>
        <w:tc>
          <w:tcPr>
            <w:tcW w:w="1734"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5.23%</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0.2748</w:t>
            </w:r>
          </w:p>
        </w:tc>
        <w:tc>
          <w:tcPr>
            <w:tcW w:w="2410" w:type="dxa"/>
            <w:tcBorders>
              <w:top w:val="single" w:sz="2" w:space="0" w:color="auto"/>
              <w:left w:val="single" w:sz="2" w:space="0" w:color="auto"/>
              <w:bottom w:val="single" w:sz="2" w:space="0" w:color="auto"/>
              <w:right w:val="single" w:sz="2" w:space="0" w:color="auto"/>
            </w:tcBorders>
            <w:vAlign w:val="center"/>
          </w:tcPr>
          <w:p w:rsidR="00BA0365" w:rsidRDefault="008D4B2E">
            <w:pPr>
              <w:spacing w:line="240" w:lineRule="exact"/>
              <w:jc w:val="right"/>
              <w:rPr>
                <w:rFonts w:ascii="宋体" w:eastAsia="宋体" w:hAnsi="宋体" w:cs="宋体"/>
                <w:sz w:val="18"/>
                <w:szCs w:val="18"/>
              </w:rPr>
            </w:pPr>
            <w:r>
              <w:rPr>
                <w:rFonts w:ascii="宋体" w:eastAsia="宋体" w:hAnsi="宋体" w:cs="宋体"/>
                <w:sz w:val="18"/>
                <w:szCs w:val="18"/>
              </w:rPr>
              <w:t>0.2801</w:t>
            </w:r>
          </w:p>
        </w:tc>
      </w:tr>
    </w:tbl>
    <w:p w:rsidR="00BA0365" w:rsidRDefault="008D4B2E">
      <w:pPr>
        <w:pStyle w:val="3"/>
        <w:spacing w:line="280" w:lineRule="exact"/>
        <w:jc w:val="left"/>
        <w:rPr>
          <w:rFonts w:ascii="宋体" w:hAnsi="宋体" w:cs="宋体"/>
          <w:b/>
          <w:bCs/>
        </w:rPr>
      </w:pPr>
      <w:bookmarkStart w:id="436" w:name="_Toc989363"/>
      <w:r>
        <w:rPr>
          <w:rFonts w:ascii="宋体" w:hAnsi="宋体" w:cs="宋体"/>
          <w:b/>
          <w:bCs/>
        </w:rPr>
        <w:t>3、境内外会计准则下会计数据差异</w:t>
      </w:r>
      <w:bookmarkEnd w:id="436"/>
    </w:p>
    <w:p w:rsidR="00BA0365" w:rsidRDefault="008D4B2E">
      <w:pPr>
        <w:keepNext/>
        <w:keepLines/>
        <w:spacing w:before="300" w:after="300" w:line="280" w:lineRule="exact"/>
        <w:outlineLvl w:val="3"/>
        <w:rPr>
          <w:rFonts w:ascii="宋体" w:eastAsia="宋体" w:hAnsi="宋体" w:cs="宋体"/>
          <w:b/>
          <w:bCs/>
          <w:szCs w:val="21"/>
        </w:rPr>
      </w:pPr>
      <w:bookmarkStart w:id="437" w:name="_Toc989364"/>
      <w:r>
        <w:rPr>
          <w:rFonts w:ascii="宋体" w:eastAsia="宋体" w:hAnsi="宋体" w:cs="宋体"/>
          <w:b/>
          <w:bCs/>
          <w:szCs w:val="21"/>
        </w:rPr>
        <w:t>（1） 同时按照国际会计准则与按中国会计准则披露的财务</w:t>
      </w:r>
      <w:proofErr w:type="gramStart"/>
      <w:r>
        <w:rPr>
          <w:rFonts w:ascii="宋体" w:eastAsia="宋体" w:hAnsi="宋体" w:cs="宋体"/>
          <w:b/>
          <w:bCs/>
          <w:szCs w:val="21"/>
        </w:rPr>
        <w:t>报告中净利润</w:t>
      </w:r>
      <w:proofErr w:type="gramEnd"/>
      <w:r>
        <w:rPr>
          <w:rFonts w:ascii="宋体" w:eastAsia="宋体" w:hAnsi="宋体" w:cs="宋体"/>
          <w:b/>
          <w:bCs/>
          <w:szCs w:val="21"/>
        </w:rPr>
        <w:t>和净资产差异情况</w:t>
      </w:r>
      <w:bookmarkEnd w:id="437"/>
    </w:p>
    <w:p w:rsidR="00BA0365" w:rsidRDefault="008D4B2E">
      <w:pPr>
        <w:spacing w:before="100" w:after="100"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438" w:name="_Toc989365"/>
      <w:r>
        <w:rPr>
          <w:rFonts w:ascii="宋体" w:eastAsia="宋体" w:hAnsi="宋体" w:cs="宋体"/>
          <w:b/>
          <w:bCs/>
          <w:szCs w:val="21"/>
        </w:rPr>
        <w:t>（2） 同时按照境外会计准则与按中国会计准则披露的财务</w:t>
      </w:r>
      <w:proofErr w:type="gramStart"/>
      <w:r>
        <w:rPr>
          <w:rFonts w:ascii="宋体" w:eastAsia="宋体" w:hAnsi="宋体" w:cs="宋体"/>
          <w:b/>
          <w:bCs/>
          <w:szCs w:val="21"/>
        </w:rPr>
        <w:t>报告中净利润</w:t>
      </w:r>
      <w:proofErr w:type="gramEnd"/>
      <w:r>
        <w:rPr>
          <w:rFonts w:ascii="宋体" w:eastAsia="宋体" w:hAnsi="宋体" w:cs="宋体"/>
          <w:b/>
          <w:bCs/>
          <w:szCs w:val="21"/>
        </w:rPr>
        <w:t>和净资产差异情况</w:t>
      </w:r>
      <w:bookmarkEnd w:id="438"/>
    </w:p>
    <w:p w:rsidR="00BA0365" w:rsidRDefault="008D4B2E">
      <w:pPr>
        <w:spacing w:line="240" w:lineRule="exact"/>
        <w:rPr>
          <w:rFonts w:ascii="宋体" w:eastAsia="宋体" w:hAnsi="宋体" w:cs="宋体"/>
          <w:sz w:val="18"/>
          <w:szCs w:val="18"/>
        </w:rPr>
      </w:pPr>
      <w:r>
        <w:rPr>
          <w:rFonts w:ascii="宋体" w:eastAsia="宋体" w:hAnsi="宋体" w:cs="宋体"/>
          <w:sz w:val="18"/>
          <w:szCs w:val="18"/>
        </w:rPr>
        <w:t xml:space="preserve">□适用 </w:t>
      </w:r>
      <w:r>
        <w:rPr>
          <w:rFonts w:ascii="宋体" w:eastAsia="宋体" w:hAnsi="宋体" w:cs="宋体"/>
          <w:sz w:val="18"/>
          <w:szCs w:val="18"/>
        </w:rPr>
        <w:sym w:font="Wingdings 2" w:char="F052"/>
      </w:r>
      <w:r>
        <w:rPr>
          <w:rFonts w:ascii="宋体" w:eastAsia="宋体" w:hAnsi="宋体" w:cs="宋体"/>
          <w:sz w:val="18"/>
          <w:szCs w:val="18"/>
        </w:rPr>
        <w:t>不适用</w:t>
      </w:r>
    </w:p>
    <w:p w:rsidR="00BA0365" w:rsidRDefault="008D4B2E">
      <w:pPr>
        <w:keepNext/>
        <w:keepLines/>
        <w:spacing w:before="300" w:after="300" w:line="280" w:lineRule="exact"/>
        <w:outlineLvl w:val="3"/>
        <w:rPr>
          <w:rFonts w:ascii="宋体" w:eastAsia="宋体" w:hAnsi="宋体" w:cs="宋体"/>
          <w:b/>
          <w:bCs/>
          <w:szCs w:val="21"/>
        </w:rPr>
      </w:pPr>
      <w:bookmarkStart w:id="439" w:name="_Toc989366"/>
      <w:r>
        <w:rPr>
          <w:rFonts w:ascii="宋体" w:eastAsia="宋体" w:hAnsi="宋体" w:cs="宋体"/>
          <w:b/>
          <w:bCs/>
          <w:szCs w:val="21"/>
        </w:rPr>
        <w:t>（3） 境内外会计准则下会计数据差异原因说明，对已经境外审计机构审计的数据进行差异调节的，应注明该境外机构的名称</w:t>
      </w:r>
      <w:bookmarkEnd w:id="439"/>
    </w:p>
    <w:p w:rsidR="00BA0365" w:rsidRDefault="00BA0365">
      <w:pPr>
        <w:pStyle w:val="3"/>
        <w:spacing w:line="280" w:lineRule="exact"/>
        <w:jc w:val="left"/>
        <w:rPr>
          <w:rFonts w:ascii="宋体" w:hAnsi="宋体" w:cs="宋体"/>
          <w:b/>
          <w:bCs/>
        </w:rPr>
      </w:pPr>
    </w:p>
    <w:p w:rsidR="00C75946" w:rsidRDefault="00C75946" w:rsidP="00C75946"/>
    <w:p w:rsidR="00C75946" w:rsidRDefault="00C75946" w:rsidP="00C75946"/>
    <w:p w:rsidR="00C75946" w:rsidRDefault="00C75946" w:rsidP="00C75946"/>
    <w:p w:rsidR="00C75946" w:rsidRDefault="00C75946" w:rsidP="00C75946"/>
    <w:p w:rsidR="00C75946" w:rsidRDefault="00C75946" w:rsidP="00C75946"/>
    <w:p w:rsidR="00C75946" w:rsidRDefault="00C75946" w:rsidP="00C75946"/>
    <w:p w:rsidR="00C75946" w:rsidRDefault="00C75946" w:rsidP="00C75946"/>
    <w:p w:rsidR="00C75946" w:rsidRDefault="00C75946" w:rsidP="00C75946">
      <w:r>
        <w:rPr>
          <w:rFonts w:hint="eastAsia"/>
        </w:rPr>
        <w:t xml:space="preserve"> </w:t>
      </w:r>
      <w:r>
        <w:t xml:space="preserve">                                                                                                                                </w:t>
      </w:r>
    </w:p>
    <w:p w:rsidR="00C75946" w:rsidRDefault="00C75946" w:rsidP="00C75946">
      <w:pPr>
        <w:ind w:firstLineChars="2900" w:firstLine="6090"/>
      </w:pPr>
      <w:r>
        <w:t xml:space="preserve"> </w:t>
      </w:r>
      <w:proofErr w:type="gramStart"/>
      <w:r>
        <w:t>软控股份有限公司</w:t>
      </w:r>
      <w:proofErr w:type="gramEnd"/>
    </w:p>
    <w:p w:rsidR="00C75946" w:rsidRDefault="00C75946" w:rsidP="00C75946">
      <w:r>
        <w:rPr>
          <w:rFonts w:hint="eastAsia"/>
        </w:rPr>
        <w:t xml:space="preserve"> </w:t>
      </w:r>
      <w:r>
        <w:t xml:space="preserve">                                                                                                                                         </w:t>
      </w:r>
      <w:r>
        <w:t>董事会</w:t>
      </w:r>
    </w:p>
    <w:p w:rsidR="00C75946" w:rsidRPr="00C75946" w:rsidRDefault="00C75946" w:rsidP="00C75946">
      <w:r>
        <w:rPr>
          <w:rFonts w:hint="eastAsia"/>
        </w:rPr>
        <w:t xml:space="preserve"> </w:t>
      </w:r>
      <w:r>
        <w:t xml:space="preserve">                                                                                                                                   2024</w:t>
      </w:r>
      <w:r>
        <w:t>年</w:t>
      </w:r>
      <w:r>
        <w:rPr>
          <w:rFonts w:hint="eastAsia"/>
        </w:rPr>
        <w:t>4</w:t>
      </w:r>
      <w:r>
        <w:rPr>
          <w:rFonts w:hint="eastAsia"/>
        </w:rPr>
        <w:t>月</w:t>
      </w:r>
      <w:r>
        <w:t>3</w:t>
      </w:r>
      <w:r>
        <w:t>日</w:t>
      </w:r>
    </w:p>
    <w:sectPr w:rsidR="00C75946" w:rsidRPr="00C75946">
      <w:headerReference w:type="default" r:id="rId16"/>
      <w:footerReference w:type="default" r:id="rId17"/>
      <w:pgSz w:w="11905" w:h="16840"/>
      <w:pgMar w:top="1440" w:right="1134" w:bottom="1440" w:left="1134" w:header="850"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81D" w:rsidRDefault="0062781D">
      <w:r>
        <w:separator/>
      </w:r>
    </w:p>
  </w:endnote>
  <w:endnote w:type="continuationSeparator" w:id="0">
    <w:p w:rsidR="0062781D" w:rsidRDefault="0062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8D0" w:rsidRDefault="007E18D0">
    <w:pPr>
      <w:pStyle w:val="fotter1"/>
    </w:pPr>
    <w:r>
      <w:fldChar w:fldCharType="begin"/>
    </w:r>
    <w:r>
      <w:instrText>PAGE   \* MERGEFORMAT</w:instrText>
    </w:r>
    <w:r>
      <w:fldChar w:fldCharType="separate"/>
    </w:r>
    <w:r w:rsidR="005D4E78">
      <w:rPr>
        <w:noProof/>
      </w:rPr>
      <w:t>176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81D" w:rsidRDefault="0062781D">
      <w:r>
        <w:separator/>
      </w:r>
    </w:p>
  </w:footnote>
  <w:footnote w:type="continuationSeparator" w:id="0">
    <w:p w:rsidR="0062781D" w:rsidRDefault="00627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8D0" w:rsidRDefault="007E18D0">
    <w:pPr>
      <w:pStyle w:val="Header1"/>
      <w:pBdr>
        <w:bottom w:val="single" w:sz="6" w:space="1" w:color="auto"/>
      </w:pBdr>
    </w:pPr>
    <w:proofErr w:type="gramStart"/>
    <w:r>
      <w:t>软控股份有限公司</w:t>
    </w:r>
    <w:proofErr w:type="gramEnd"/>
    <w:r>
      <w:t>2023年年度报告全文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20EEE"/>
    <w:multiLevelType w:val="multilevel"/>
    <w:tmpl w:val="9CB097DE"/>
    <w:lvl w:ilvl="0">
      <w:start w:val="3"/>
      <w:numFmt w:val="decimal"/>
      <w:lvlText w:val="%1."/>
      <w:lvlJc w:val="left"/>
      <w:pPr>
        <w:tabs>
          <w:tab w:val="num" w:pos="720"/>
        </w:tabs>
        <w:ind w:left="720" w:hanging="360"/>
      </w:pPr>
    </w:lvl>
    <w:lvl w:ilvl="1">
      <w:start w:val="1"/>
      <w:numFmt w:val="decimalEnclosedCircle"/>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DC7EE5"/>
    <w:multiLevelType w:val="multilevel"/>
    <w:tmpl w:val="D8B648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691774"/>
    <w:multiLevelType w:val="multilevel"/>
    <w:tmpl w:val="0142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42E17"/>
    <w:multiLevelType w:val="multilevel"/>
    <w:tmpl w:val="B3E87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B33E7A"/>
    <w:multiLevelType w:val="multilevel"/>
    <w:tmpl w:val="16EEF4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417998"/>
    <w:multiLevelType w:val="multilevel"/>
    <w:tmpl w:val="3E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4B6102"/>
    <w:multiLevelType w:val="multilevel"/>
    <w:tmpl w:val="CF1E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847F45"/>
    <w:multiLevelType w:val="multilevel"/>
    <w:tmpl w:val="A9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A8322B"/>
    <w:multiLevelType w:val="multilevel"/>
    <w:tmpl w:val="A0E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E7579E"/>
    <w:multiLevelType w:val="multilevel"/>
    <w:tmpl w:val="319A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6"/>
  </w:num>
  <w:num w:numId="5">
    <w:abstractNumId w:val="9"/>
  </w:num>
  <w:num w:numId="6">
    <w:abstractNumId w:val="5"/>
  </w:num>
  <w:num w:numId="7">
    <w:abstractNumId w:val="3"/>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proofState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365"/>
    <w:rsid w:val="00021783"/>
    <w:rsid w:val="00077EE9"/>
    <w:rsid w:val="000C2E93"/>
    <w:rsid w:val="00102670"/>
    <w:rsid w:val="0010486D"/>
    <w:rsid w:val="001112C2"/>
    <w:rsid w:val="001273CA"/>
    <w:rsid w:val="00130B7D"/>
    <w:rsid w:val="001505AE"/>
    <w:rsid w:val="00152E2B"/>
    <w:rsid w:val="001542D9"/>
    <w:rsid w:val="00157EA0"/>
    <w:rsid w:val="00212B93"/>
    <w:rsid w:val="00220C19"/>
    <w:rsid w:val="00280776"/>
    <w:rsid w:val="002A37F5"/>
    <w:rsid w:val="002B59B9"/>
    <w:rsid w:val="00362F1D"/>
    <w:rsid w:val="0040791A"/>
    <w:rsid w:val="0043204A"/>
    <w:rsid w:val="004A6F9D"/>
    <w:rsid w:val="004E2BEA"/>
    <w:rsid w:val="004E6C26"/>
    <w:rsid w:val="005018F6"/>
    <w:rsid w:val="00570C59"/>
    <w:rsid w:val="00595F61"/>
    <w:rsid w:val="005D4E78"/>
    <w:rsid w:val="00606927"/>
    <w:rsid w:val="00614723"/>
    <w:rsid w:val="00614C8D"/>
    <w:rsid w:val="0062781D"/>
    <w:rsid w:val="00661040"/>
    <w:rsid w:val="00673BAF"/>
    <w:rsid w:val="006C5451"/>
    <w:rsid w:val="007370FD"/>
    <w:rsid w:val="00773D06"/>
    <w:rsid w:val="007E0ED4"/>
    <w:rsid w:val="007E18D0"/>
    <w:rsid w:val="00825C41"/>
    <w:rsid w:val="00832133"/>
    <w:rsid w:val="008D4B2E"/>
    <w:rsid w:val="00984200"/>
    <w:rsid w:val="0099421A"/>
    <w:rsid w:val="009B6868"/>
    <w:rsid w:val="00A30B4A"/>
    <w:rsid w:val="00AA53DA"/>
    <w:rsid w:val="00AF7E7B"/>
    <w:rsid w:val="00B2020C"/>
    <w:rsid w:val="00B818D2"/>
    <w:rsid w:val="00B87081"/>
    <w:rsid w:val="00BA0365"/>
    <w:rsid w:val="00BB1593"/>
    <w:rsid w:val="00BD66E6"/>
    <w:rsid w:val="00C067EE"/>
    <w:rsid w:val="00C75946"/>
    <w:rsid w:val="00CC1088"/>
    <w:rsid w:val="00D94CE8"/>
    <w:rsid w:val="00DF1985"/>
    <w:rsid w:val="00E35018"/>
    <w:rsid w:val="00EC2B99"/>
    <w:rsid w:val="00F20D92"/>
    <w:rsid w:val="00F220E5"/>
    <w:rsid w:val="00F3790B"/>
    <w:rsid w:val="00F87C44"/>
    <w:rsid w:val="00FB2735"/>
    <w:rsid w:val="00FC6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1F124B-07F6-46DD-8AD8-0AE4FD2D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next w:val="a"/>
    <w:uiPriority w:val="9"/>
    <w:unhideWhenUsed/>
    <w:qFormat/>
    <w:pPr>
      <w:keepNext/>
      <w:keepLines/>
      <w:spacing w:before="156" w:after="156"/>
      <w:outlineLvl w:val="1"/>
    </w:pPr>
    <w:rPr>
      <w:szCs w:val="21"/>
    </w:rPr>
  </w:style>
  <w:style w:type="paragraph" w:styleId="3">
    <w:name w:val="heading 3"/>
    <w:basedOn w:val="a"/>
    <w:next w:val="a"/>
    <w:uiPriority w:val="99"/>
    <w:qFormat/>
    <w:rsid w:val="00B74129"/>
    <w:pPr>
      <w:keepNext/>
      <w:keepLines/>
      <w:spacing w:before="300" w:after="300" w:line="241" w:lineRule="auto"/>
      <w:jc w:val="both"/>
      <w:outlineLvl w:val="2"/>
    </w:pPr>
    <w:rPr>
      <w:rFonts w:eastAsia="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1">
    <w:name w:val="Header 1"/>
    <w:pPr>
      <w:jc w:val="right"/>
    </w:pPr>
    <w:rPr>
      <w:rFonts w:ascii="宋体" w:eastAsia="宋体"/>
      <w:sz w:val="18"/>
      <w:szCs w:val="18"/>
    </w:rPr>
  </w:style>
  <w:style w:type="paragraph" w:customStyle="1" w:styleId="headingh1">
    <w:name w:val="heading h1"/>
    <w:basedOn w:val="a"/>
    <w:next w:val="a"/>
    <w:uiPriority w:val="9"/>
    <w:qFormat/>
    <w:pPr>
      <w:keepNext/>
      <w:keepLines/>
      <w:spacing w:before="240" w:after="240" w:line="578" w:lineRule="auto"/>
      <w:outlineLvl w:val="0"/>
    </w:pPr>
    <w:rPr>
      <w:kern w:val="44"/>
      <w:sz w:val="44"/>
      <w:szCs w:val="44"/>
    </w:rPr>
  </w:style>
  <w:style w:type="paragraph" w:customStyle="1" w:styleId="fotter1">
    <w:name w:val="fotter 1"/>
    <w:pPr>
      <w:jc w:val="right"/>
    </w:pPr>
    <w:rPr>
      <w:rFonts w:ascii="宋体" w:eastAsia="宋体"/>
      <w:sz w:val="18"/>
      <w:szCs w:val="18"/>
    </w:rPr>
  </w:style>
  <w:style w:type="paragraph" w:styleId="1">
    <w:name w:val="toc 1"/>
    <w:basedOn w:val="a"/>
    <w:next w:val="a"/>
    <w:autoRedefine/>
    <w:uiPriority w:val="39"/>
  </w:style>
  <w:style w:type="paragraph" w:styleId="20">
    <w:name w:val="toc 2"/>
    <w:basedOn w:val="a"/>
    <w:next w:val="a"/>
    <w:autoRedefine/>
    <w:uiPriority w:val="39"/>
    <w:unhideWhenUsed/>
    <w:pPr>
      <w:ind w:leftChars="200" w:left="420"/>
    </w:pPr>
  </w:style>
  <w:style w:type="paragraph" w:styleId="a3">
    <w:name w:val="Normal (Web)"/>
    <w:basedOn w:val="a"/>
    <w:uiPriority w:val="99"/>
    <w:unhideWhenUsed/>
    <w:pPr>
      <w:widowControl/>
      <w:spacing w:before="100" w:beforeAutospacing="1" w:after="100" w:afterAutospacing="1"/>
    </w:pPr>
    <w:rPr>
      <w:rFonts w:ascii="宋体" w:eastAsia="宋体" w:hAnsi="宋体" w:cs="宋体"/>
      <w:kern w:val="0"/>
      <w:sz w:val="24"/>
      <w:szCs w:val="24"/>
    </w:rPr>
  </w:style>
  <w:style w:type="character" w:styleId="a4">
    <w:name w:val="Strong"/>
    <w:basedOn w:val="a0"/>
    <w:uiPriority w:val="22"/>
    <w:qFormat/>
    <w:rPr>
      <w:b/>
      <w:bCs/>
    </w:rPr>
  </w:style>
  <w:style w:type="character" w:styleId="a5">
    <w:name w:val="Hyperlink"/>
    <w:basedOn w:val="a0"/>
    <w:uiPriority w:val="99"/>
    <w:unhideWhenUsed/>
    <w:rPr>
      <w:color w:val="0000FF"/>
      <w:u w:val="single"/>
    </w:rPr>
  </w:style>
  <w:style w:type="paragraph" w:customStyle="1" w:styleId="18">
    <w:name w:val="18"/>
    <w:basedOn w:val="a"/>
    <w:pPr>
      <w:widowControl/>
      <w:spacing w:before="100" w:beforeAutospacing="1" w:after="100" w:afterAutospacing="1"/>
    </w:pPr>
    <w:rPr>
      <w:rFonts w:ascii="宋体" w:eastAsia="宋体" w:hAnsi="宋体" w:cs="宋体"/>
      <w:kern w:val="0"/>
      <w:sz w:val="24"/>
      <w:szCs w:val="24"/>
    </w:rPr>
  </w:style>
  <w:style w:type="paragraph" w:customStyle="1" w:styleId="17">
    <w:name w:val="17"/>
    <w:basedOn w:val="a"/>
    <w:pPr>
      <w:widowControl/>
      <w:spacing w:before="100" w:beforeAutospacing="1" w:after="100" w:afterAutospacing="1"/>
    </w:pPr>
    <w:rPr>
      <w:rFonts w:ascii="宋体" w:eastAsia="宋体" w:hAnsi="宋体" w:cs="宋体"/>
      <w:kern w:val="0"/>
      <w:sz w:val="24"/>
      <w:szCs w:val="24"/>
    </w:rPr>
  </w:style>
  <w:style w:type="paragraph" w:customStyle="1" w:styleId="16">
    <w:name w:val="16"/>
    <w:basedOn w:val="a"/>
    <w:pPr>
      <w:widowControl/>
      <w:spacing w:before="100" w:beforeAutospacing="1" w:after="100" w:afterAutospacing="1"/>
    </w:pPr>
    <w:rPr>
      <w:rFonts w:ascii="宋体" w:eastAsia="宋体" w:hAnsi="宋体" w:cs="宋体"/>
      <w:kern w:val="0"/>
      <w:sz w:val="24"/>
      <w:szCs w:val="24"/>
    </w:rPr>
  </w:style>
  <w:style w:type="paragraph" w:styleId="a6">
    <w:name w:val="header"/>
    <w:basedOn w:val="a"/>
    <w:link w:val="Char"/>
    <w:uiPriority w:val="99"/>
    <w:unhideWhenUsed/>
    <w:rsid w:val="008D4B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D4B2E"/>
    <w:rPr>
      <w:sz w:val="18"/>
      <w:szCs w:val="18"/>
    </w:rPr>
  </w:style>
  <w:style w:type="paragraph" w:styleId="a7">
    <w:name w:val="footer"/>
    <w:basedOn w:val="a"/>
    <w:link w:val="Char0"/>
    <w:uiPriority w:val="99"/>
    <w:unhideWhenUsed/>
    <w:rsid w:val="008D4B2E"/>
    <w:pPr>
      <w:tabs>
        <w:tab w:val="center" w:pos="4153"/>
        <w:tab w:val="right" w:pos="8306"/>
      </w:tabs>
      <w:snapToGrid w:val="0"/>
    </w:pPr>
    <w:rPr>
      <w:sz w:val="18"/>
      <w:szCs w:val="18"/>
    </w:rPr>
  </w:style>
  <w:style w:type="character" w:customStyle="1" w:styleId="Char0">
    <w:name w:val="页脚 Char"/>
    <w:basedOn w:val="a0"/>
    <w:link w:val="a7"/>
    <w:uiPriority w:val="99"/>
    <w:rsid w:val="008D4B2E"/>
    <w:rPr>
      <w:sz w:val="18"/>
      <w:szCs w:val="18"/>
    </w:rPr>
  </w:style>
  <w:style w:type="paragraph" w:styleId="a8">
    <w:name w:val="List Paragraph"/>
    <w:basedOn w:val="a"/>
    <w:uiPriority w:val="34"/>
    <w:qFormat/>
    <w:rsid w:val="00362F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9096">
      <w:bodyDiv w:val="1"/>
      <w:marLeft w:val="0"/>
      <w:marRight w:val="0"/>
      <w:marTop w:val="0"/>
      <w:marBottom w:val="0"/>
      <w:divBdr>
        <w:top w:val="none" w:sz="0" w:space="0" w:color="auto"/>
        <w:left w:val="none" w:sz="0" w:space="0" w:color="auto"/>
        <w:bottom w:val="none" w:sz="0" w:space="0" w:color="auto"/>
        <w:right w:val="none" w:sz="0" w:space="0" w:color="auto"/>
      </w:divBdr>
    </w:div>
    <w:div w:id="87897787">
      <w:bodyDiv w:val="1"/>
      <w:marLeft w:val="0"/>
      <w:marRight w:val="0"/>
      <w:marTop w:val="0"/>
      <w:marBottom w:val="0"/>
      <w:divBdr>
        <w:top w:val="none" w:sz="0" w:space="0" w:color="auto"/>
        <w:left w:val="none" w:sz="0" w:space="0" w:color="auto"/>
        <w:bottom w:val="none" w:sz="0" w:space="0" w:color="auto"/>
        <w:right w:val="none" w:sz="0" w:space="0" w:color="auto"/>
      </w:divBdr>
    </w:div>
    <w:div w:id="93018390">
      <w:bodyDiv w:val="1"/>
      <w:marLeft w:val="0"/>
      <w:marRight w:val="0"/>
      <w:marTop w:val="0"/>
      <w:marBottom w:val="0"/>
      <w:divBdr>
        <w:top w:val="none" w:sz="0" w:space="0" w:color="auto"/>
        <w:left w:val="none" w:sz="0" w:space="0" w:color="auto"/>
        <w:bottom w:val="none" w:sz="0" w:space="0" w:color="auto"/>
        <w:right w:val="none" w:sz="0" w:space="0" w:color="auto"/>
      </w:divBdr>
    </w:div>
    <w:div w:id="98918171">
      <w:bodyDiv w:val="1"/>
      <w:marLeft w:val="0"/>
      <w:marRight w:val="0"/>
      <w:marTop w:val="0"/>
      <w:marBottom w:val="0"/>
      <w:divBdr>
        <w:top w:val="none" w:sz="0" w:space="0" w:color="auto"/>
        <w:left w:val="none" w:sz="0" w:space="0" w:color="auto"/>
        <w:bottom w:val="none" w:sz="0" w:space="0" w:color="auto"/>
        <w:right w:val="none" w:sz="0" w:space="0" w:color="auto"/>
      </w:divBdr>
    </w:div>
    <w:div w:id="124200907">
      <w:bodyDiv w:val="1"/>
      <w:marLeft w:val="0"/>
      <w:marRight w:val="0"/>
      <w:marTop w:val="0"/>
      <w:marBottom w:val="0"/>
      <w:divBdr>
        <w:top w:val="none" w:sz="0" w:space="0" w:color="auto"/>
        <w:left w:val="none" w:sz="0" w:space="0" w:color="auto"/>
        <w:bottom w:val="none" w:sz="0" w:space="0" w:color="auto"/>
        <w:right w:val="none" w:sz="0" w:space="0" w:color="auto"/>
      </w:divBdr>
    </w:div>
    <w:div w:id="144972380">
      <w:bodyDiv w:val="1"/>
      <w:marLeft w:val="0"/>
      <w:marRight w:val="0"/>
      <w:marTop w:val="0"/>
      <w:marBottom w:val="0"/>
      <w:divBdr>
        <w:top w:val="none" w:sz="0" w:space="0" w:color="auto"/>
        <w:left w:val="none" w:sz="0" w:space="0" w:color="auto"/>
        <w:bottom w:val="none" w:sz="0" w:space="0" w:color="auto"/>
        <w:right w:val="none" w:sz="0" w:space="0" w:color="auto"/>
      </w:divBdr>
    </w:div>
    <w:div w:id="177543784">
      <w:bodyDiv w:val="1"/>
      <w:marLeft w:val="0"/>
      <w:marRight w:val="0"/>
      <w:marTop w:val="0"/>
      <w:marBottom w:val="0"/>
      <w:divBdr>
        <w:top w:val="none" w:sz="0" w:space="0" w:color="auto"/>
        <w:left w:val="none" w:sz="0" w:space="0" w:color="auto"/>
        <w:bottom w:val="none" w:sz="0" w:space="0" w:color="auto"/>
        <w:right w:val="none" w:sz="0" w:space="0" w:color="auto"/>
      </w:divBdr>
    </w:div>
    <w:div w:id="197744453">
      <w:bodyDiv w:val="1"/>
      <w:marLeft w:val="0"/>
      <w:marRight w:val="0"/>
      <w:marTop w:val="0"/>
      <w:marBottom w:val="0"/>
      <w:divBdr>
        <w:top w:val="none" w:sz="0" w:space="0" w:color="auto"/>
        <w:left w:val="none" w:sz="0" w:space="0" w:color="auto"/>
        <w:bottom w:val="none" w:sz="0" w:space="0" w:color="auto"/>
        <w:right w:val="none" w:sz="0" w:space="0" w:color="auto"/>
      </w:divBdr>
    </w:div>
    <w:div w:id="240260307">
      <w:bodyDiv w:val="1"/>
      <w:marLeft w:val="0"/>
      <w:marRight w:val="0"/>
      <w:marTop w:val="0"/>
      <w:marBottom w:val="0"/>
      <w:divBdr>
        <w:top w:val="none" w:sz="0" w:space="0" w:color="auto"/>
        <w:left w:val="none" w:sz="0" w:space="0" w:color="auto"/>
        <w:bottom w:val="none" w:sz="0" w:space="0" w:color="auto"/>
        <w:right w:val="none" w:sz="0" w:space="0" w:color="auto"/>
      </w:divBdr>
    </w:div>
    <w:div w:id="243078745">
      <w:bodyDiv w:val="1"/>
      <w:marLeft w:val="0"/>
      <w:marRight w:val="0"/>
      <w:marTop w:val="0"/>
      <w:marBottom w:val="0"/>
      <w:divBdr>
        <w:top w:val="none" w:sz="0" w:space="0" w:color="auto"/>
        <w:left w:val="none" w:sz="0" w:space="0" w:color="auto"/>
        <w:bottom w:val="none" w:sz="0" w:space="0" w:color="auto"/>
        <w:right w:val="none" w:sz="0" w:space="0" w:color="auto"/>
      </w:divBdr>
    </w:div>
    <w:div w:id="259997742">
      <w:bodyDiv w:val="1"/>
      <w:marLeft w:val="0"/>
      <w:marRight w:val="0"/>
      <w:marTop w:val="0"/>
      <w:marBottom w:val="0"/>
      <w:divBdr>
        <w:top w:val="none" w:sz="0" w:space="0" w:color="auto"/>
        <w:left w:val="none" w:sz="0" w:space="0" w:color="auto"/>
        <w:bottom w:val="none" w:sz="0" w:space="0" w:color="auto"/>
        <w:right w:val="none" w:sz="0" w:space="0" w:color="auto"/>
      </w:divBdr>
    </w:div>
    <w:div w:id="264075333">
      <w:bodyDiv w:val="1"/>
      <w:marLeft w:val="0"/>
      <w:marRight w:val="0"/>
      <w:marTop w:val="0"/>
      <w:marBottom w:val="0"/>
      <w:divBdr>
        <w:top w:val="none" w:sz="0" w:space="0" w:color="auto"/>
        <w:left w:val="none" w:sz="0" w:space="0" w:color="auto"/>
        <w:bottom w:val="none" w:sz="0" w:space="0" w:color="auto"/>
        <w:right w:val="none" w:sz="0" w:space="0" w:color="auto"/>
      </w:divBdr>
    </w:div>
    <w:div w:id="267783025">
      <w:bodyDiv w:val="1"/>
      <w:marLeft w:val="0"/>
      <w:marRight w:val="0"/>
      <w:marTop w:val="0"/>
      <w:marBottom w:val="0"/>
      <w:divBdr>
        <w:top w:val="none" w:sz="0" w:space="0" w:color="auto"/>
        <w:left w:val="none" w:sz="0" w:space="0" w:color="auto"/>
        <w:bottom w:val="none" w:sz="0" w:space="0" w:color="auto"/>
        <w:right w:val="none" w:sz="0" w:space="0" w:color="auto"/>
      </w:divBdr>
    </w:div>
    <w:div w:id="303312830">
      <w:bodyDiv w:val="1"/>
      <w:marLeft w:val="0"/>
      <w:marRight w:val="0"/>
      <w:marTop w:val="0"/>
      <w:marBottom w:val="0"/>
      <w:divBdr>
        <w:top w:val="none" w:sz="0" w:space="0" w:color="auto"/>
        <w:left w:val="none" w:sz="0" w:space="0" w:color="auto"/>
        <w:bottom w:val="none" w:sz="0" w:space="0" w:color="auto"/>
        <w:right w:val="none" w:sz="0" w:space="0" w:color="auto"/>
      </w:divBdr>
    </w:div>
    <w:div w:id="311519910">
      <w:bodyDiv w:val="1"/>
      <w:marLeft w:val="0"/>
      <w:marRight w:val="0"/>
      <w:marTop w:val="0"/>
      <w:marBottom w:val="0"/>
      <w:divBdr>
        <w:top w:val="none" w:sz="0" w:space="0" w:color="auto"/>
        <w:left w:val="none" w:sz="0" w:space="0" w:color="auto"/>
        <w:bottom w:val="none" w:sz="0" w:space="0" w:color="auto"/>
        <w:right w:val="none" w:sz="0" w:space="0" w:color="auto"/>
      </w:divBdr>
    </w:div>
    <w:div w:id="324015214">
      <w:bodyDiv w:val="1"/>
      <w:marLeft w:val="0"/>
      <w:marRight w:val="0"/>
      <w:marTop w:val="0"/>
      <w:marBottom w:val="0"/>
      <w:divBdr>
        <w:top w:val="none" w:sz="0" w:space="0" w:color="auto"/>
        <w:left w:val="none" w:sz="0" w:space="0" w:color="auto"/>
        <w:bottom w:val="none" w:sz="0" w:space="0" w:color="auto"/>
        <w:right w:val="none" w:sz="0" w:space="0" w:color="auto"/>
      </w:divBdr>
    </w:div>
    <w:div w:id="340401752">
      <w:bodyDiv w:val="1"/>
      <w:marLeft w:val="0"/>
      <w:marRight w:val="0"/>
      <w:marTop w:val="0"/>
      <w:marBottom w:val="0"/>
      <w:divBdr>
        <w:top w:val="none" w:sz="0" w:space="0" w:color="auto"/>
        <w:left w:val="none" w:sz="0" w:space="0" w:color="auto"/>
        <w:bottom w:val="none" w:sz="0" w:space="0" w:color="auto"/>
        <w:right w:val="none" w:sz="0" w:space="0" w:color="auto"/>
      </w:divBdr>
    </w:div>
    <w:div w:id="345716566">
      <w:bodyDiv w:val="1"/>
      <w:marLeft w:val="0"/>
      <w:marRight w:val="0"/>
      <w:marTop w:val="0"/>
      <w:marBottom w:val="0"/>
      <w:divBdr>
        <w:top w:val="none" w:sz="0" w:space="0" w:color="auto"/>
        <w:left w:val="none" w:sz="0" w:space="0" w:color="auto"/>
        <w:bottom w:val="none" w:sz="0" w:space="0" w:color="auto"/>
        <w:right w:val="none" w:sz="0" w:space="0" w:color="auto"/>
      </w:divBdr>
    </w:div>
    <w:div w:id="360134559">
      <w:bodyDiv w:val="1"/>
      <w:marLeft w:val="0"/>
      <w:marRight w:val="0"/>
      <w:marTop w:val="0"/>
      <w:marBottom w:val="0"/>
      <w:divBdr>
        <w:top w:val="none" w:sz="0" w:space="0" w:color="auto"/>
        <w:left w:val="none" w:sz="0" w:space="0" w:color="auto"/>
        <w:bottom w:val="none" w:sz="0" w:space="0" w:color="auto"/>
        <w:right w:val="none" w:sz="0" w:space="0" w:color="auto"/>
      </w:divBdr>
    </w:div>
    <w:div w:id="367997833">
      <w:bodyDiv w:val="1"/>
      <w:marLeft w:val="0"/>
      <w:marRight w:val="0"/>
      <w:marTop w:val="0"/>
      <w:marBottom w:val="0"/>
      <w:divBdr>
        <w:top w:val="none" w:sz="0" w:space="0" w:color="auto"/>
        <w:left w:val="none" w:sz="0" w:space="0" w:color="auto"/>
        <w:bottom w:val="none" w:sz="0" w:space="0" w:color="auto"/>
        <w:right w:val="none" w:sz="0" w:space="0" w:color="auto"/>
      </w:divBdr>
    </w:div>
    <w:div w:id="387455544">
      <w:bodyDiv w:val="1"/>
      <w:marLeft w:val="0"/>
      <w:marRight w:val="0"/>
      <w:marTop w:val="0"/>
      <w:marBottom w:val="0"/>
      <w:divBdr>
        <w:top w:val="none" w:sz="0" w:space="0" w:color="auto"/>
        <w:left w:val="none" w:sz="0" w:space="0" w:color="auto"/>
        <w:bottom w:val="none" w:sz="0" w:space="0" w:color="auto"/>
        <w:right w:val="none" w:sz="0" w:space="0" w:color="auto"/>
      </w:divBdr>
    </w:div>
    <w:div w:id="410083200">
      <w:bodyDiv w:val="1"/>
      <w:marLeft w:val="0"/>
      <w:marRight w:val="0"/>
      <w:marTop w:val="0"/>
      <w:marBottom w:val="0"/>
      <w:divBdr>
        <w:top w:val="none" w:sz="0" w:space="0" w:color="auto"/>
        <w:left w:val="none" w:sz="0" w:space="0" w:color="auto"/>
        <w:bottom w:val="none" w:sz="0" w:space="0" w:color="auto"/>
        <w:right w:val="none" w:sz="0" w:space="0" w:color="auto"/>
      </w:divBdr>
    </w:div>
    <w:div w:id="443574584">
      <w:bodyDiv w:val="1"/>
      <w:marLeft w:val="0"/>
      <w:marRight w:val="0"/>
      <w:marTop w:val="0"/>
      <w:marBottom w:val="0"/>
      <w:divBdr>
        <w:top w:val="none" w:sz="0" w:space="0" w:color="auto"/>
        <w:left w:val="none" w:sz="0" w:space="0" w:color="auto"/>
        <w:bottom w:val="none" w:sz="0" w:space="0" w:color="auto"/>
        <w:right w:val="none" w:sz="0" w:space="0" w:color="auto"/>
      </w:divBdr>
    </w:div>
    <w:div w:id="445973356">
      <w:bodyDiv w:val="1"/>
      <w:marLeft w:val="0"/>
      <w:marRight w:val="0"/>
      <w:marTop w:val="0"/>
      <w:marBottom w:val="0"/>
      <w:divBdr>
        <w:top w:val="none" w:sz="0" w:space="0" w:color="auto"/>
        <w:left w:val="none" w:sz="0" w:space="0" w:color="auto"/>
        <w:bottom w:val="none" w:sz="0" w:space="0" w:color="auto"/>
        <w:right w:val="none" w:sz="0" w:space="0" w:color="auto"/>
      </w:divBdr>
    </w:div>
    <w:div w:id="452360895">
      <w:bodyDiv w:val="1"/>
      <w:marLeft w:val="0"/>
      <w:marRight w:val="0"/>
      <w:marTop w:val="0"/>
      <w:marBottom w:val="0"/>
      <w:divBdr>
        <w:top w:val="none" w:sz="0" w:space="0" w:color="auto"/>
        <w:left w:val="none" w:sz="0" w:space="0" w:color="auto"/>
        <w:bottom w:val="none" w:sz="0" w:space="0" w:color="auto"/>
        <w:right w:val="none" w:sz="0" w:space="0" w:color="auto"/>
      </w:divBdr>
    </w:div>
    <w:div w:id="456333119">
      <w:bodyDiv w:val="1"/>
      <w:marLeft w:val="0"/>
      <w:marRight w:val="0"/>
      <w:marTop w:val="0"/>
      <w:marBottom w:val="0"/>
      <w:divBdr>
        <w:top w:val="none" w:sz="0" w:space="0" w:color="auto"/>
        <w:left w:val="none" w:sz="0" w:space="0" w:color="auto"/>
        <w:bottom w:val="none" w:sz="0" w:space="0" w:color="auto"/>
        <w:right w:val="none" w:sz="0" w:space="0" w:color="auto"/>
      </w:divBdr>
    </w:div>
    <w:div w:id="473523013">
      <w:bodyDiv w:val="1"/>
      <w:marLeft w:val="0"/>
      <w:marRight w:val="0"/>
      <w:marTop w:val="0"/>
      <w:marBottom w:val="0"/>
      <w:divBdr>
        <w:top w:val="none" w:sz="0" w:space="0" w:color="auto"/>
        <w:left w:val="none" w:sz="0" w:space="0" w:color="auto"/>
        <w:bottom w:val="none" w:sz="0" w:space="0" w:color="auto"/>
        <w:right w:val="none" w:sz="0" w:space="0" w:color="auto"/>
      </w:divBdr>
    </w:div>
    <w:div w:id="474567145">
      <w:bodyDiv w:val="1"/>
      <w:marLeft w:val="0"/>
      <w:marRight w:val="0"/>
      <w:marTop w:val="0"/>
      <w:marBottom w:val="0"/>
      <w:divBdr>
        <w:top w:val="none" w:sz="0" w:space="0" w:color="auto"/>
        <w:left w:val="none" w:sz="0" w:space="0" w:color="auto"/>
        <w:bottom w:val="none" w:sz="0" w:space="0" w:color="auto"/>
        <w:right w:val="none" w:sz="0" w:space="0" w:color="auto"/>
      </w:divBdr>
    </w:div>
    <w:div w:id="478041031">
      <w:bodyDiv w:val="1"/>
      <w:marLeft w:val="0"/>
      <w:marRight w:val="0"/>
      <w:marTop w:val="0"/>
      <w:marBottom w:val="0"/>
      <w:divBdr>
        <w:top w:val="none" w:sz="0" w:space="0" w:color="auto"/>
        <w:left w:val="none" w:sz="0" w:space="0" w:color="auto"/>
        <w:bottom w:val="none" w:sz="0" w:space="0" w:color="auto"/>
        <w:right w:val="none" w:sz="0" w:space="0" w:color="auto"/>
      </w:divBdr>
    </w:div>
    <w:div w:id="481583381">
      <w:bodyDiv w:val="1"/>
      <w:marLeft w:val="0"/>
      <w:marRight w:val="0"/>
      <w:marTop w:val="0"/>
      <w:marBottom w:val="0"/>
      <w:divBdr>
        <w:top w:val="none" w:sz="0" w:space="0" w:color="auto"/>
        <w:left w:val="none" w:sz="0" w:space="0" w:color="auto"/>
        <w:bottom w:val="none" w:sz="0" w:space="0" w:color="auto"/>
        <w:right w:val="none" w:sz="0" w:space="0" w:color="auto"/>
      </w:divBdr>
    </w:div>
    <w:div w:id="516232337">
      <w:bodyDiv w:val="1"/>
      <w:marLeft w:val="0"/>
      <w:marRight w:val="0"/>
      <w:marTop w:val="0"/>
      <w:marBottom w:val="0"/>
      <w:divBdr>
        <w:top w:val="none" w:sz="0" w:space="0" w:color="auto"/>
        <w:left w:val="none" w:sz="0" w:space="0" w:color="auto"/>
        <w:bottom w:val="none" w:sz="0" w:space="0" w:color="auto"/>
        <w:right w:val="none" w:sz="0" w:space="0" w:color="auto"/>
      </w:divBdr>
      <w:divsChild>
        <w:div w:id="564679520">
          <w:marLeft w:val="0"/>
          <w:marRight w:val="0"/>
          <w:marTop w:val="0"/>
          <w:marBottom w:val="0"/>
          <w:divBdr>
            <w:top w:val="none" w:sz="0" w:space="0" w:color="auto"/>
            <w:left w:val="none" w:sz="0" w:space="0" w:color="auto"/>
            <w:bottom w:val="none" w:sz="0" w:space="0" w:color="auto"/>
            <w:right w:val="none" w:sz="0" w:space="0" w:color="auto"/>
          </w:divBdr>
        </w:div>
      </w:divsChild>
    </w:div>
    <w:div w:id="517890381">
      <w:bodyDiv w:val="1"/>
      <w:marLeft w:val="0"/>
      <w:marRight w:val="0"/>
      <w:marTop w:val="0"/>
      <w:marBottom w:val="0"/>
      <w:divBdr>
        <w:top w:val="none" w:sz="0" w:space="0" w:color="auto"/>
        <w:left w:val="none" w:sz="0" w:space="0" w:color="auto"/>
        <w:bottom w:val="none" w:sz="0" w:space="0" w:color="auto"/>
        <w:right w:val="none" w:sz="0" w:space="0" w:color="auto"/>
      </w:divBdr>
    </w:div>
    <w:div w:id="525408917">
      <w:bodyDiv w:val="1"/>
      <w:marLeft w:val="0"/>
      <w:marRight w:val="0"/>
      <w:marTop w:val="0"/>
      <w:marBottom w:val="0"/>
      <w:divBdr>
        <w:top w:val="none" w:sz="0" w:space="0" w:color="auto"/>
        <w:left w:val="none" w:sz="0" w:space="0" w:color="auto"/>
        <w:bottom w:val="none" w:sz="0" w:space="0" w:color="auto"/>
        <w:right w:val="none" w:sz="0" w:space="0" w:color="auto"/>
      </w:divBdr>
    </w:div>
    <w:div w:id="526061721">
      <w:bodyDiv w:val="1"/>
      <w:marLeft w:val="0"/>
      <w:marRight w:val="0"/>
      <w:marTop w:val="0"/>
      <w:marBottom w:val="0"/>
      <w:divBdr>
        <w:top w:val="none" w:sz="0" w:space="0" w:color="auto"/>
        <w:left w:val="none" w:sz="0" w:space="0" w:color="auto"/>
        <w:bottom w:val="none" w:sz="0" w:space="0" w:color="auto"/>
        <w:right w:val="none" w:sz="0" w:space="0" w:color="auto"/>
      </w:divBdr>
      <w:divsChild>
        <w:div w:id="1234438612">
          <w:marLeft w:val="0"/>
          <w:marRight w:val="0"/>
          <w:marTop w:val="0"/>
          <w:marBottom w:val="0"/>
          <w:divBdr>
            <w:top w:val="none" w:sz="0" w:space="0" w:color="auto"/>
            <w:left w:val="none" w:sz="0" w:space="0" w:color="auto"/>
            <w:bottom w:val="none" w:sz="0" w:space="0" w:color="auto"/>
            <w:right w:val="none" w:sz="0" w:space="0" w:color="auto"/>
          </w:divBdr>
        </w:div>
        <w:div w:id="1732462776">
          <w:marLeft w:val="0"/>
          <w:marRight w:val="0"/>
          <w:marTop w:val="0"/>
          <w:marBottom w:val="0"/>
          <w:divBdr>
            <w:top w:val="none" w:sz="0" w:space="0" w:color="auto"/>
            <w:left w:val="none" w:sz="0" w:space="0" w:color="auto"/>
            <w:bottom w:val="none" w:sz="0" w:space="0" w:color="auto"/>
            <w:right w:val="none" w:sz="0" w:space="0" w:color="auto"/>
          </w:divBdr>
        </w:div>
      </w:divsChild>
    </w:div>
    <w:div w:id="552429326">
      <w:bodyDiv w:val="1"/>
      <w:marLeft w:val="0"/>
      <w:marRight w:val="0"/>
      <w:marTop w:val="0"/>
      <w:marBottom w:val="0"/>
      <w:divBdr>
        <w:top w:val="none" w:sz="0" w:space="0" w:color="auto"/>
        <w:left w:val="none" w:sz="0" w:space="0" w:color="auto"/>
        <w:bottom w:val="none" w:sz="0" w:space="0" w:color="auto"/>
        <w:right w:val="none" w:sz="0" w:space="0" w:color="auto"/>
      </w:divBdr>
    </w:div>
    <w:div w:id="559022423">
      <w:bodyDiv w:val="1"/>
      <w:marLeft w:val="0"/>
      <w:marRight w:val="0"/>
      <w:marTop w:val="0"/>
      <w:marBottom w:val="0"/>
      <w:divBdr>
        <w:top w:val="none" w:sz="0" w:space="0" w:color="auto"/>
        <w:left w:val="none" w:sz="0" w:space="0" w:color="auto"/>
        <w:bottom w:val="none" w:sz="0" w:space="0" w:color="auto"/>
        <w:right w:val="none" w:sz="0" w:space="0" w:color="auto"/>
      </w:divBdr>
    </w:div>
    <w:div w:id="574389732">
      <w:bodyDiv w:val="1"/>
      <w:marLeft w:val="0"/>
      <w:marRight w:val="0"/>
      <w:marTop w:val="0"/>
      <w:marBottom w:val="0"/>
      <w:divBdr>
        <w:top w:val="none" w:sz="0" w:space="0" w:color="auto"/>
        <w:left w:val="none" w:sz="0" w:space="0" w:color="auto"/>
        <w:bottom w:val="none" w:sz="0" w:space="0" w:color="auto"/>
        <w:right w:val="none" w:sz="0" w:space="0" w:color="auto"/>
      </w:divBdr>
    </w:div>
    <w:div w:id="574828007">
      <w:bodyDiv w:val="1"/>
      <w:marLeft w:val="0"/>
      <w:marRight w:val="0"/>
      <w:marTop w:val="0"/>
      <w:marBottom w:val="0"/>
      <w:divBdr>
        <w:top w:val="none" w:sz="0" w:space="0" w:color="auto"/>
        <w:left w:val="none" w:sz="0" w:space="0" w:color="auto"/>
        <w:bottom w:val="none" w:sz="0" w:space="0" w:color="auto"/>
        <w:right w:val="none" w:sz="0" w:space="0" w:color="auto"/>
      </w:divBdr>
    </w:div>
    <w:div w:id="588271712">
      <w:bodyDiv w:val="1"/>
      <w:marLeft w:val="0"/>
      <w:marRight w:val="0"/>
      <w:marTop w:val="0"/>
      <w:marBottom w:val="0"/>
      <w:divBdr>
        <w:top w:val="none" w:sz="0" w:space="0" w:color="auto"/>
        <w:left w:val="none" w:sz="0" w:space="0" w:color="auto"/>
        <w:bottom w:val="none" w:sz="0" w:space="0" w:color="auto"/>
        <w:right w:val="none" w:sz="0" w:space="0" w:color="auto"/>
      </w:divBdr>
    </w:div>
    <w:div w:id="619452814">
      <w:bodyDiv w:val="1"/>
      <w:marLeft w:val="0"/>
      <w:marRight w:val="0"/>
      <w:marTop w:val="0"/>
      <w:marBottom w:val="0"/>
      <w:divBdr>
        <w:top w:val="none" w:sz="0" w:space="0" w:color="auto"/>
        <w:left w:val="none" w:sz="0" w:space="0" w:color="auto"/>
        <w:bottom w:val="none" w:sz="0" w:space="0" w:color="auto"/>
        <w:right w:val="none" w:sz="0" w:space="0" w:color="auto"/>
      </w:divBdr>
    </w:div>
    <w:div w:id="629046504">
      <w:bodyDiv w:val="1"/>
      <w:marLeft w:val="0"/>
      <w:marRight w:val="0"/>
      <w:marTop w:val="0"/>
      <w:marBottom w:val="0"/>
      <w:divBdr>
        <w:top w:val="none" w:sz="0" w:space="0" w:color="auto"/>
        <w:left w:val="none" w:sz="0" w:space="0" w:color="auto"/>
        <w:bottom w:val="none" w:sz="0" w:space="0" w:color="auto"/>
        <w:right w:val="none" w:sz="0" w:space="0" w:color="auto"/>
      </w:divBdr>
      <w:divsChild>
        <w:div w:id="279651034">
          <w:marLeft w:val="0"/>
          <w:marRight w:val="0"/>
          <w:marTop w:val="0"/>
          <w:marBottom w:val="0"/>
          <w:divBdr>
            <w:top w:val="none" w:sz="0" w:space="0" w:color="auto"/>
            <w:left w:val="none" w:sz="0" w:space="0" w:color="auto"/>
            <w:bottom w:val="none" w:sz="0" w:space="0" w:color="auto"/>
            <w:right w:val="none" w:sz="0" w:space="0" w:color="auto"/>
          </w:divBdr>
        </w:div>
      </w:divsChild>
    </w:div>
    <w:div w:id="630593286">
      <w:bodyDiv w:val="1"/>
      <w:marLeft w:val="0"/>
      <w:marRight w:val="0"/>
      <w:marTop w:val="0"/>
      <w:marBottom w:val="0"/>
      <w:divBdr>
        <w:top w:val="none" w:sz="0" w:space="0" w:color="auto"/>
        <w:left w:val="none" w:sz="0" w:space="0" w:color="auto"/>
        <w:bottom w:val="none" w:sz="0" w:space="0" w:color="auto"/>
        <w:right w:val="none" w:sz="0" w:space="0" w:color="auto"/>
      </w:divBdr>
    </w:div>
    <w:div w:id="641889731">
      <w:bodyDiv w:val="1"/>
      <w:marLeft w:val="0"/>
      <w:marRight w:val="0"/>
      <w:marTop w:val="0"/>
      <w:marBottom w:val="0"/>
      <w:divBdr>
        <w:top w:val="none" w:sz="0" w:space="0" w:color="auto"/>
        <w:left w:val="none" w:sz="0" w:space="0" w:color="auto"/>
        <w:bottom w:val="none" w:sz="0" w:space="0" w:color="auto"/>
        <w:right w:val="none" w:sz="0" w:space="0" w:color="auto"/>
      </w:divBdr>
    </w:div>
    <w:div w:id="651060764">
      <w:bodyDiv w:val="1"/>
      <w:marLeft w:val="0"/>
      <w:marRight w:val="0"/>
      <w:marTop w:val="0"/>
      <w:marBottom w:val="0"/>
      <w:divBdr>
        <w:top w:val="none" w:sz="0" w:space="0" w:color="auto"/>
        <w:left w:val="none" w:sz="0" w:space="0" w:color="auto"/>
        <w:bottom w:val="none" w:sz="0" w:space="0" w:color="auto"/>
        <w:right w:val="none" w:sz="0" w:space="0" w:color="auto"/>
      </w:divBdr>
    </w:div>
    <w:div w:id="686248230">
      <w:bodyDiv w:val="1"/>
      <w:marLeft w:val="0"/>
      <w:marRight w:val="0"/>
      <w:marTop w:val="0"/>
      <w:marBottom w:val="0"/>
      <w:divBdr>
        <w:top w:val="none" w:sz="0" w:space="0" w:color="auto"/>
        <w:left w:val="none" w:sz="0" w:space="0" w:color="auto"/>
        <w:bottom w:val="none" w:sz="0" w:space="0" w:color="auto"/>
        <w:right w:val="none" w:sz="0" w:space="0" w:color="auto"/>
      </w:divBdr>
    </w:div>
    <w:div w:id="691952782">
      <w:bodyDiv w:val="1"/>
      <w:marLeft w:val="0"/>
      <w:marRight w:val="0"/>
      <w:marTop w:val="0"/>
      <w:marBottom w:val="0"/>
      <w:divBdr>
        <w:top w:val="none" w:sz="0" w:space="0" w:color="auto"/>
        <w:left w:val="none" w:sz="0" w:space="0" w:color="auto"/>
        <w:bottom w:val="none" w:sz="0" w:space="0" w:color="auto"/>
        <w:right w:val="none" w:sz="0" w:space="0" w:color="auto"/>
      </w:divBdr>
    </w:div>
    <w:div w:id="694426366">
      <w:bodyDiv w:val="1"/>
      <w:marLeft w:val="0"/>
      <w:marRight w:val="0"/>
      <w:marTop w:val="0"/>
      <w:marBottom w:val="0"/>
      <w:divBdr>
        <w:top w:val="none" w:sz="0" w:space="0" w:color="auto"/>
        <w:left w:val="none" w:sz="0" w:space="0" w:color="auto"/>
        <w:bottom w:val="none" w:sz="0" w:space="0" w:color="auto"/>
        <w:right w:val="none" w:sz="0" w:space="0" w:color="auto"/>
      </w:divBdr>
    </w:div>
    <w:div w:id="695347932">
      <w:bodyDiv w:val="1"/>
      <w:marLeft w:val="0"/>
      <w:marRight w:val="0"/>
      <w:marTop w:val="0"/>
      <w:marBottom w:val="0"/>
      <w:divBdr>
        <w:top w:val="none" w:sz="0" w:space="0" w:color="auto"/>
        <w:left w:val="none" w:sz="0" w:space="0" w:color="auto"/>
        <w:bottom w:val="none" w:sz="0" w:space="0" w:color="auto"/>
        <w:right w:val="none" w:sz="0" w:space="0" w:color="auto"/>
      </w:divBdr>
    </w:div>
    <w:div w:id="711032429">
      <w:bodyDiv w:val="1"/>
      <w:marLeft w:val="0"/>
      <w:marRight w:val="0"/>
      <w:marTop w:val="0"/>
      <w:marBottom w:val="0"/>
      <w:divBdr>
        <w:top w:val="none" w:sz="0" w:space="0" w:color="auto"/>
        <w:left w:val="none" w:sz="0" w:space="0" w:color="auto"/>
        <w:bottom w:val="none" w:sz="0" w:space="0" w:color="auto"/>
        <w:right w:val="none" w:sz="0" w:space="0" w:color="auto"/>
      </w:divBdr>
    </w:div>
    <w:div w:id="733621479">
      <w:bodyDiv w:val="1"/>
      <w:marLeft w:val="0"/>
      <w:marRight w:val="0"/>
      <w:marTop w:val="0"/>
      <w:marBottom w:val="0"/>
      <w:divBdr>
        <w:top w:val="none" w:sz="0" w:space="0" w:color="auto"/>
        <w:left w:val="none" w:sz="0" w:space="0" w:color="auto"/>
        <w:bottom w:val="none" w:sz="0" w:space="0" w:color="auto"/>
        <w:right w:val="none" w:sz="0" w:space="0" w:color="auto"/>
      </w:divBdr>
    </w:div>
    <w:div w:id="741635204">
      <w:bodyDiv w:val="1"/>
      <w:marLeft w:val="0"/>
      <w:marRight w:val="0"/>
      <w:marTop w:val="0"/>
      <w:marBottom w:val="0"/>
      <w:divBdr>
        <w:top w:val="none" w:sz="0" w:space="0" w:color="auto"/>
        <w:left w:val="none" w:sz="0" w:space="0" w:color="auto"/>
        <w:bottom w:val="none" w:sz="0" w:space="0" w:color="auto"/>
        <w:right w:val="none" w:sz="0" w:space="0" w:color="auto"/>
      </w:divBdr>
    </w:div>
    <w:div w:id="742876582">
      <w:bodyDiv w:val="1"/>
      <w:marLeft w:val="0"/>
      <w:marRight w:val="0"/>
      <w:marTop w:val="0"/>
      <w:marBottom w:val="0"/>
      <w:divBdr>
        <w:top w:val="none" w:sz="0" w:space="0" w:color="auto"/>
        <w:left w:val="none" w:sz="0" w:space="0" w:color="auto"/>
        <w:bottom w:val="none" w:sz="0" w:space="0" w:color="auto"/>
        <w:right w:val="none" w:sz="0" w:space="0" w:color="auto"/>
      </w:divBdr>
    </w:div>
    <w:div w:id="750391646">
      <w:bodyDiv w:val="1"/>
      <w:marLeft w:val="0"/>
      <w:marRight w:val="0"/>
      <w:marTop w:val="0"/>
      <w:marBottom w:val="0"/>
      <w:divBdr>
        <w:top w:val="none" w:sz="0" w:space="0" w:color="auto"/>
        <w:left w:val="none" w:sz="0" w:space="0" w:color="auto"/>
        <w:bottom w:val="none" w:sz="0" w:space="0" w:color="auto"/>
        <w:right w:val="none" w:sz="0" w:space="0" w:color="auto"/>
      </w:divBdr>
    </w:div>
    <w:div w:id="754130122">
      <w:bodyDiv w:val="1"/>
      <w:marLeft w:val="0"/>
      <w:marRight w:val="0"/>
      <w:marTop w:val="0"/>
      <w:marBottom w:val="0"/>
      <w:divBdr>
        <w:top w:val="none" w:sz="0" w:space="0" w:color="auto"/>
        <w:left w:val="none" w:sz="0" w:space="0" w:color="auto"/>
        <w:bottom w:val="none" w:sz="0" w:space="0" w:color="auto"/>
        <w:right w:val="none" w:sz="0" w:space="0" w:color="auto"/>
      </w:divBdr>
    </w:div>
    <w:div w:id="755595667">
      <w:bodyDiv w:val="1"/>
      <w:marLeft w:val="0"/>
      <w:marRight w:val="0"/>
      <w:marTop w:val="0"/>
      <w:marBottom w:val="0"/>
      <w:divBdr>
        <w:top w:val="none" w:sz="0" w:space="0" w:color="auto"/>
        <w:left w:val="none" w:sz="0" w:space="0" w:color="auto"/>
        <w:bottom w:val="none" w:sz="0" w:space="0" w:color="auto"/>
        <w:right w:val="none" w:sz="0" w:space="0" w:color="auto"/>
      </w:divBdr>
    </w:div>
    <w:div w:id="777215537">
      <w:bodyDiv w:val="1"/>
      <w:marLeft w:val="0"/>
      <w:marRight w:val="0"/>
      <w:marTop w:val="0"/>
      <w:marBottom w:val="0"/>
      <w:divBdr>
        <w:top w:val="none" w:sz="0" w:space="0" w:color="auto"/>
        <w:left w:val="none" w:sz="0" w:space="0" w:color="auto"/>
        <w:bottom w:val="none" w:sz="0" w:space="0" w:color="auto"/>
        <w:right w:val="none" w:sz="0" w:space="0" w:color="auto"/>
      </w:divBdr>
    </w:div>
    <w:div w:id="821697364">
      <w:bodyDiv w:val="1"/>
      <w:marLeft w:val="0"/>
      <w:marRight w:val="0"/>
      <w:marTop w:val="0"/>
      <w:marBottom w:val="0"/>
      <w:divBdr>
        <w:top w:val="none" w:sz="0" w:space="0" w:color="auto"/>
        <w:left w:val="none" w:sz="0" w:space="0" w:color="auto"/>
        <w:bottom w:val="none" w:sz="0" w:space="0" w:color="auto"/>
        <w:right w:val="none" w:sz="0" w:space="0" w:color="auto"/>
      </w:divBdr>
    </w:div>
    <w:div w:id="824975226">
      <w:bodyDiv w:val="1"/>
      <w:marLeft w:val="0"/>
      <w:marRight w:val="0"/>
      <w:marTop w:val="0"/>
      <w:marBottom w:val="0"/>
      <w:divBdr>
        <w:top w:val="none" w:sz="0" w:space="0" w:color="auto"/>
        <w:left w:val="none" w:sz="0" w:space="0" w:color="auto"/>
        <w:bottom w:val="none" w:sz="0" w:space="0" w:color="auto"/>
        <w:right w:val="none" w:sz="0" w:space="0" w:color="auto"/>
      </w:divBdr>
    </w:div>
    <w:div w:id="825167658">
      <w:bodyDiv w:val="1"/>
      <w:marLeft w:val="0"/>
      <w:marRight w:val="0"/>
      <w:marTop w:val="0"/>
      <w:marBottom w:val="0"/>
      <w:divBdr>
        <w:top w:val="none" w:sz="0" w:space="0" w:color="auto"/>
        <w:left w:val="none" w:sz="0" w:space="0" w:color="auto"/>
        <w:bottom w:val="none" w:sz="0" w:space="0" w:color="auto"/>
        <w:right w:val="none" w:sz="0" w:space="0" w:color="auto"/>
      </w:divBdr>
    </w:div>
    <w:div w:id="829171578">
      <w:bodyDiv w:val="1"/>
      <w:marLeft w:val="0"/>
      <w:marRight w:val="0"/>
      <w:marTop w:val="0"/>
      <w:marBottom w:val="0"/>
      <w:divBdr>
        <w:top w:val="none" w:sz="0" w:space="0" w:color="auto"/>
        <w:left w:val="none" w:sz="0" w:space="0" w:color="auto"/>
        <w:bottom w:val="none" w:sz="0" w:space="0" w:color="auto"/>
        <w:right w:val="none" w:sz="0" w:space="0" w:color="auto"/>
      </w:divBdr>
    </w:div>
    <w:div w:id="829449152">
      <w:bodyDiv w:val="1"/>
      <w:marLeft w:val="0"/>
      <w:marRight w:val="0"/>
      <w:marTop w:val="0"/>
      <w:marBottom w:val="0"/>
      <w:divBdr>
        <w:top w:val="none" w:sz="0" w:space="0" w:color="auto"/>
        <w:left w:val="none" w:sz="0" w:space="0" w:color="auto"/>
        <w:bottom w:val="none" w:sz="0" w:space="0" w:color="auto"/>
        <w:right w:val="none" w:sz="0" w:space="0" w:color="auto"/>
      </w:divBdr>
    </w:div>
    <w:div w:id="881408707">
      <w:bodyDiv w:val="1"/>
      <w:marLeft w:val="0"/>
      <w:marRight w:val="0"/>
      <w:marTop w:val="0"/>
      <w:marBottom w:val="0"/>
      <w:divBdr>
        <w:top w:val="none" w:sz="0" w:space="0" w:color="auto"/>
        <w:left w:val="none" w:sz="0" w:space="0" w:color="auto"/>
        <w:bottom w:val="none" w:sz="0" w:space="0" w:color="auto"/>
        <w:right w:val="none" w:sz="0" w:space="0" w:color="auto"/>
      </w:divBdr>
    </w:div>
    <w:div w:id="889224353">
      <w:bodyDiv w:val="1"/>
      <w:marLeft w:val="0"/>
      <w:marRight w:val="0"/>
      <w:marTop w:val="0"/>
      <w:marBottom w:val="0"/>
      <w:divBdr>
        <w:top w:val="none" w:sz="0" w:space="0" w:color="auto"/>
        <w:left w:val="none" w:sz="0" w:space="0" w:color="auto"/>
        <w:bottom w:val="none" w:sz="0" w:space="0" w:color="auto"/>
        <w:right w:val="none" w:sz="0" w:space="0" w:color="auto"/>
      </w:divBdr>
    </w:div>
    <w:div w:id="894049040">
      <w:bodyDiv w:val="1"/>
      <w:marLeft w:val="0"/>
      <w:marRight w:val="0"/>
      <w:marTop w:val="0"/>
      <w:marBottom w:val="0"/>
      <w:divBdr>
        <w:top w:val="none" w:sz="0" w:space="0" w:color="auto"/>
        <w:left w:val="none" w:sz="0" w:space="0" w:color="auto"/>
        <w:bottom w:val="none" w:sz="0" w:space="0" w:color="auto"/>
        <w:right w:val="none" w:sz="0" w:space="0" w:color="auto"/>
      </w:divBdr>
    </w:div>
    <w:div w:id="899748596">
      <w:bodyDiv w:val="1"/>
      <w:marLeft w:val="0"/>
      <w:marRight w:val="0"/>
      <w:marTop w:val="0"/>
      <w:marBottom w:val="0"/>
      <w:divBdr>
        <w:top w:val="none" w:sz="0" w:space="0" w:color="auto"/>
        <w:left w:val="none" w:sz="0" w:space="0" w:color="auto"/>
        <w:bottom w:val="none" w:sz="0" w:space="0" w:color="auto"/>
        <w:right w:val="none" w:sz="0" w:space="0" w:color="auto"/>
      </w:divBdr>
    </w:div>
    <w:div w:id="917440714">
      <w:bodyDiv w:val="1"/>
      <w:marLeft w:val="0"/>
      <w:marRight w:val="0"/>
      <w:marTop w:val="0"/>
      <w:marBottom w:val="0"/>
      <w:divBdr>
        <w:top w:val="none" w:sz="0" w:space="0" w:color="auto"/>
        <w:left w:val="none" w:sz="0" w:space="0" w:color="auto"/>
        <w:bottom w:val="none" w:sz="0" w:space="0" w:color="auto"/>
        <w:right w:val="none" w:sz="0" w:space="0" w:color="auto"/>
      </w:divBdr>
    </w:div>
    <w:div w:id="926888792">
      <w:bodyDiv w:val="1"/>
      <w:marLeft w:val="0"/>
      <w:marRight w:val="0"/>
      <w:marTop w:val="0"/>
      <w:marBottom w:val="0"/>
      <w:divBdr>
        <w:top w:val="none" w:sz="0" w:space="0" w:color="auto"/>
        <w:left w:val="none" w:sz="0" w:space="0" w:color="auto"/>
        <w:bottom w:val="none" w:sz="0" w:space="0" w:color="auto"/>
        <w:right w:val="none" w:sz="0" w:space="0" w:color="auto"/>
      </w:divBdr>
    </w:div>
    <w:div w:id="938219218">
      <w:bodyDiv w:val="1"/>
      <w:marLeft w:val="0"/>
      <w:marRight w:val="0"/>
      <w:marTop w:val="0"/>
      <w:marBottom w:val="0"/>
      <w:divBdr>
        <w:top w:val="none" w:sz="0" w:space="0" w:color="auto"/>
        <w:left w:val="none" w:sz="0" w:space="0" w:color="auto"/>
        <w:bottom w:val="none" w:sz="0" w:space="0" w:color="auto"/>
        <w:right w:val="none" w:sz="0" w:space="0" w:color="auto"/>
      </w:divBdr>
    </w:div>
    <w:div w:id="955717523">
      <w:bodyDiv w:val="1"/>
      <w:marLeft w:val="0"/>
      <w:marRight w:val="0"/>
      <w:marTop w:val="0"/>
      <w:marBottom w:val="0"/>
      <w:divBdr>
        <w:top w:val="none" w:sz="0" w:space="0" w:color="auto"/>
        <w:left w:val="none" w:sz="0" w:space="0" w:color="auto"/>
        <w:bottom w:val="none" w:sz="0" w:space="0" w:color="auto"/>
        <w:right w:val="none" w:sz="0" w:space="0" w:color="auto"/>
      </w:divBdr>
    </w:div>
    <w:div w:id="962030931">
      <w:bodyDiv w:val="1"/>
      <w:marLeft w:val="0"/>
      <w:marRight w:val="0"/>
      <w:marTop w:val="0"/>
      <w:marBottom w:val="0"/>
      <w:divBdr>
        <w:top w:val="none" w:sz="0" w:space="0" w:color="auto"/>
        <w:left w:val="none" w:sz="0" w:space="0" w:color="auto"/>
        <w:bottom w:val="none" w:sz="0" w:space="0" w:color="auto"/>
        <w:right w:val="none" w:sz="0" w:space="0" w:color="auto"/>
      </w:divBdr>
    </w:div>
    <w:div w:id="986323029">
      <w:bodyDiv w:val="1"/>
      <w:marLeft w:val="0"/>
      <w:marRight w:val="0"/>
      <w:marTop w:val="0"/>
      <w:marBottom w:val="0"/>
      <w:divBdr>
        <w:top w:val="none" w:sz="0" w:space="0" w:color="auto"/>
        <w:left w:val="none" w:sz="0" w:space="0" w:color="auto"/>
        <w:bottom w:val="none" w:sz="0" w:space="0" w:color="auto"/>
        <w:right w:val="none" w:sz="0" w:space="0" w:color="auto"/>
      </w:divBdr>
    </w:div>
    <w:div w:id="994257869">
      <w:bodyDiv w:val="1"/>
      <w:marLeft w:val="0"/>
      <w:marRight w:val="0"/>
      <w:marTop w:val="0"/>
      <w:marBottom w:val="0"/>
      <w:divBdr>
        <w:top w:val="none" w:sz="0" w:space="0" w:color="auto"/>
        <w:left w:val="none" w:sz="0" w:space="0" w:color="auto"/>
        <w:bottom w:val="none" w:sz="0" w:space="0" w:color="auto"/>
        <w:right w:val="none" w:sz="0" w:space="0" w:color="auto"/>
      </w:divBdr>
    </w:div>
    <w:div w:id="1001588886">
      <w:bodyDiv w:val="1"/>
      <w:marLeft w:val="0"/>
      <w:marRight w:val="0"/>
      <w:marTop w:val="0"/>
      <w:marBottom w:val="0"/>
      <w:divBdr>
        <w:top w:val="none" w:sz="0" w:space="0" w:color="auto"/>
        <w:left w:val="none" w:sz="0" w:space="0" w:color="auto"/>
        <w:bottom w:val="none" w:sz="0" w:space="0" w:color="auto"/>
        <w:right w:val="none" w:sz="0" w:space="0" w:color="auto"/>
      </w:divBdr>
    </w:div>
    <w:div w:id="1006858449">
      <w:bodyDiv w:val="1"/>
      <w:marLeft w:val="0"/>
      <w:marRight w:val="0"/>
      <w:marTop w:val="0"/>
      <w:marBottom w:val="0"/>
      <w:divBdr>
        <w:top w:val="none" w:sz="0" w:space="0" w:color="auto"/>
        <w:left w:val="none" w:sz="0" w:space="0" w:color="auto"/>
        <w:bottom w:val="none" w:sz="0" w:space="0" w:color="auto"/>
        <w:right w:val="none" w:sz="0" w:space="0" w:color="auto"/>
      </w:divBdr>
    </w:div>
    <w:div w:id="1010595849">
      <w:bodyDiv w:val="1"/>
      <w:marLeft w:val="0"/>
      <w:marRight w:val="0"/>
      <w:marTop w:val="0"/>
      <w:marBottom w:val="0"/>
      <w:divBdr>
        <w:top w:val="none" w:sz="0" w:space="0" w:color="auto"/>
        <w:left w:val="none" w:sz="0" w:space="0" w:color="auto"/>
        <w:bottom w:val="none" w:sz="0" w:space="0" w:color="auto"/>
        <w:right w:val="none" w:sz="0" w:space="0" w:color="auto"/>
      </w:divBdr>
    </w:div>
    <w:div w:id="1043600191">
      <w:bodyDiv w:val="1"/>
      <w:marLeft w:val="0"/>
      <w:marRight w:val="0"/>
      <w:marTop w:val="0"/>
      <w:marBottom w:val="0"/>
      <w:divBdr>
        <w:top w:val="none" w:sz="0" w:space="0" w:color="auto"/>
        <w:left w:val="none" w:sz="0" w:space="0" w:color="auto"/>
        <w:bottom w:val="none" w:sz="0" w:space="0" w:color="auto"/>
        <w:right w:val="none" w:sz="0" w:space="0" w:color="auto"/>
      </w:divBdr>
    </w:div>
    <w:div w:id="1048996220">
      <w:bodyDiv w:val="1"/>
      <w:marLeft w:val="0"/>
      <w:marRight w:val="0"/>
      <w:marTop w:val="0"/>
      <w:marBottom w:val="0"/>
      <w:divBdr>
        <w:top w:val="none" w:sz="0" w:space="0" w:color="auto"/>
        <w:left w:val="none" w:sz="0" w:space="0" w:color="auto"/>
        <w:bottom w:val="none" w:sz="0" w:space="0" w:color="auto"/>
        <w:right w:val="none" w:sz="0" w:space="0" w:color="auto"/>
      </w:divBdr>
    </w:div>
    <w:div w:id="1051883665">
      <w:bodyDiv w:val="1"/>
      <w:marLeft w:val="0"/>
      <w:marRight w:val="0"/>
      <w:marTop w:val="0"/>
      <w:marBottom w:val="0"/>
      <w:divBdr>
        <w:top w:val="none" w:sz="0" w:space="0" w:color="auto"/>
        <w:left w:val="none" w:sz="0" w:space="0" w:color="auto"/>
        <w:bottom w:val="none" w:sz="0" w:space="0" w:color="auto"/>
        <w:right w:val="none" w:sz="0" w:space="0" w:color="auto"/>
      </w:divBdr>
    </w:div>
    <w:div w:id="1066755936">
      <w:bodyDiv w:val="1"/>
      <w:marLeft w:val="0"/>
      <w:marRight w:val="0"/>
      <w:marTop w:val="0"/>
      <w:marBottom w:val="0"/>
      <w:divBdr>
        <w:top w:val="none" w:sz="0" w:space="0" w:color="auto"/>
        <w:left w:val="none" w:sz="0" w:space="0" w:color="auto"/>
        <w:bottom w:val="none" w:sz="0" w:space="0" w:color="auto"/>
        <w:right w:val="none" w:sz="0" w:space="0" w:color="auto"/>
      </w:divBdr>
    </w:div>
    <w:div w:id="1113130469">
      <w:bodyDiv w:val="1"/>
      <w:marLeft w:val="0"/>
      <w:marRight w:val="0"/>
      <w:marTop w:val="0"/>
      <w:marBottom w:val="0"/>
      <w:divBdr>
        <w:top w:val="none" w:sz="0" w:space="0" w:color="auto"/>
        <w:left w:val="none" w:sz="0" w:space="0" w:color="auto"/>
        <w:bottom w:val="none" w:sz="0" w:space="0" w:color="auto"/>
        <w:right w:val="none" w:sz="0" w:space="0" w:color="auto"/>
      </w:divBdr>
    </w:div>
    <w:div w:id="1129936717">
      <w:bodyDiv w:val="1"/>
      <w:marLeft w:val="0"/>
      <w:marRight w:val="0"/>
      <w:marTop w:val="0"/>
      <w:marBottom w:val="0"/>
      <w:divBdr>
        <w:top w:val="none" w:sz="0" w:space="0" w:color="auto"/>
        <w:left w:val="none" w:sz="0" w:space="0" w:color="auto"/>
        <w:bottom w:val="none" w:sz="0" w:space="0" w:color="auto"/>
        <w:right w:val="none" w:sz="0" w:space="0" w:color="auto"/>
      </w:divBdr>
    </w:div>
    <w:div w:id="1134058132">
      <w:bodyDiv w:val="1"/>
      <w:marLeft w:val="0"/>
      <w:marRight w:val="0"/>
      <w:marTop w:val="0"/>
      <w:marBottom w:val="0"/>
      <w:divBdr>
        <w:top w:val="none" w:sz="0" w:space="0" w:color="auto"/>
        <w:left w:val="none" w:sz="0" w:space="0" w:color="auto"/>
        <w:bottom w:val="none" w:sz="0" w:space="0" w:color="auto"/>
        <w:right w:val="none" w:sz="0" w:space="0" w:color="auto"/>
      </w:divBdr>
    </w:div>
    <w:div w:id="1137796839">
      <w:bodyDiv w:val="1"/>
      <w:marLeft w:val="0"/>
      <w:marRight w:val="0"/>
      <w:marTop w:val="0"/>
      <w:marBottom w:val="0"/>
      <w:divBdr>
        <w:top w:val="none" w:sz="0" w:space="0" w:color="auto"/>
        <w:left w:val="none" w:sz="0" w:space="0" w:color="auto"/>
        <w:bottom w:val="none" w:sz="0" w:space="0" w:color="auto"/>
        <w:right w:val="none" w:sz="0" w:space="0" w:color="auto"/>
      </w:divBdr>
    </w:div>
    <w:div w:id="1148862755">
      <w:bodyDiv w:val="1"/>
      <w:marLeft w:val="0"/>
      <w:marRight w:val="0"/>
      <w:marTop w:val="0"/>
      <w:marBottom w:val="0"/>
      <w:divBdr>
        <w:top w:val="none" w:sz="0" w:space="0" w:color="auto"/>
        <w:left w:val="none" w:sz="0" w:space="0" w:color="auto"/>
        <w:bottom w:val="none" w:sz="0" w:space="0" w:color="auto"/>
        <w:right w:val="none" w:sz="0" w:space="0" w:color="auto"/>
      </w:divBdr>
    </w:div>
    <w:div w:id="1160999966">
      <w:bodyDiv w:val="1"/>
      <w:marLeft w:val="0"/>
      <w:marRight w:val="0"/>
      <w:marTop w:val="0"/>
      <w:marBottom w:val="0"/>
      <w:divBdr>
        <w:top w:val="none" w:sz="0" w:space="0" w:color="auto"/>
        <w:left w:val="none" w:sz="0" w:space="0" w:color="auto"/>
        <w:bottom w:val="none" w:sz="0" w:space="0" w:color="auto"/>
        <w:right w:val="none" w:sz="0" w:space="0" w:color="auto"/>
      </w:divBdr>
    </w:div>
    <w:div w:id="1169784031">
      <w:bodyDiv w:val="1"/>
      <w:marLeft w:val="0"/>
      <w:marRight w:val="0"/>
      <w:marTop w:val="0"/>
      <w:marBottom w:val="0"/>
      <w:divBdr>
        <w:top w:val="none" w:sz="0" w:space="0" w:color="auto"/>
        <w:left w:val="none" w:sz="0" w:space="0" w:color="auto"/>
        <w:bottom w:val="none" w:sz="0" w:space="0" w:color="auto"/>
        <w:right w:val="none" w:sz="0" w:space="0" w:color="auto"/>
      </w:divBdr>
      <w:divsChild>
        <w:div w:id="26302516">
          <w:marLeft w:val="0"/>
          <w:marRight w:val="0"/>
          <w:marTop w:val="0"/>
          <w:marBottom w:val="0"/>
          <w:divBdr>
            <w:top w:val="none" w:sz="0" w:space="0" w:color="auto"/>
            <w:left w:val="none" w:sz="0" w:space="0" w:color="auto"/>
            <w:bottom w:val="none" w:sz="0" w:space="0" w:color="auto"/>
            <w:right w:val="none" w:sz="0" w:space="0" w:color="auto"/>
          </w:divBdr>
        </w:div>
        <w:div w:id="1502158255">
          <w:marLeft w:val="0"/>
          <w:marRight w:val="0"/>
          <w:marTop w:val="0"/>
          <w:marBottom w:val="0"/>
          <w:divBdr>
            <w:top w:val="none" w:sz="0" w:space="0" w:color="auto"/>
            <w:left w:val="none" w:sz="0" w:space="0" w:color="auto"/>
            <w:bottom w:val="none" w:sz="0" w:space="0" w:color="auto"/>
            <w:right w:val="none" w:sz="0" w:space="0" w:color="auto"/>
          </w:divBdr>
        </w:div>
      </w:divsChild>
    </w:div>
    <w:div w:id="1173225840">
      <w:bodyDiv w:val="1"/>
      <w:marLeft w:val="0"/>
      <w:marRight w:val="0"/>
      <w:marTop w:val="0"/>
      <w:marBottom w:val="0"/>
      <w:divBdr>
        <w:top w:val="none" w:sz="0" w:space="0" w:color="auto"/>
        <w:left w:val="none" w:sz="0" w:space="0" w:color="auto"/>
        <w:bottom w:val="none" w:sz="0" w:space="0" w:color="auto"/>
        <w:right w:val="none" w:sz="0" w:space="0" w:color="auto"/>
      </w:divBdr>
    </w:div>
    <w:div w:id="1182937809">
      <w:bodyDiv w:val="1"/>
      <w:marLeft w:val="0"/>
      <w:marRight w:val="0"/>
      <w:marTop w:val="0"/>
      <w:marBottom w:val="0"/>
      <w:divBdr>
        <w:top w:val="none" w:sz="0" w:space="0" w:color="auto"/>
        <w:left w:val="none" w:sz="0" w:space="0" w:color="auto"/>
        <w:bottom w:val="none" w:sz="0" w:space="0" w:color="auto"/>
        <w:right w:val="none" w:sz="0" w:space="0" w:color="auto"/>
      </w:divBdr>
    </w:div>
    <w:div w:id="1186096628">
      <w:bodyDiv w:val="1"/>
      <w:marLeft w:val="0"/>
      <w:marRight w:val="0"/>
      <w:marTop w:val="0"/>
      <w:marBottom w:val="0"/>
      <w:divBdr>
        <w:top w:val="none" w:sz="0" w:space="0" w:color="auto"/>
        <w:left w:val="none" w:sz="0" w:space="0" w:color="auto"/>
        <w:bottom w:val="none" w:sz="0" w:space="0" w:color="auto"/>
        <w:right w:val="none" w:sz="0" w:space="0" w:color="auto"/>
      </w:divBdr>
    </w:div>
    <w:div w:id="1187984326">
      <w:bodyDiv w:val="1"/>
      <w:marLeft w:val="0"/>
      <w:marRight w:val="0"/>
      <w:marTop w:val="0"/>
      <w:marBottom w:val="0"/>
      <w:divBdr>
        <w:top w:val="none" w:sz="0" w:space="0" w:color="auto"/>
        <w:left w:val="none" w:sz="0" w:space="0" w:color="auto"/>
        <w:bottom w:val="none" w:sz="0" w:space="0" w:color="auto"/>
        <w:right w:val="none" w:sz="0" w:space="0" w:color="auto"/>
      </w:divBdr>
    </w:div>
    <w:div w:id="1197162892">
      <w:bodyDiv w:val="1"/>
      <w:marLeft w:val="0"/>
      <w:marRight w:val="0"/>
      <w:marTop w:val="0"/>
      <w:marBottom w:val="0"/>
      <w:divBdr>
        <w:top w:val="none" w:sz="0" w:space="0" w:color="auto"/>
        <w:left w:val="none" w:sz="0" w:space="0" w:color="auto"/>
        <w:bottom w:val="none" w:sz="0" w:space="0" w:color="auto"/>
        <w:right w:val="none" w:sz="0" w:space="0" w:color="auto"/>
      </w:divBdr>
    </w:div>
    <w:div w:id="1209486344">
      <w:bodyDiv w:val="1"/>
      <w:marLeft w:val="0"/>
      <w:marRight w:val="0"/>
      <w:marTop w:val="0"/>
      <w:marBottom w:val="0"/>
      <w:divBdr>
        <w:top w:val="none" w:sz="0" w:space="0" w:color="auto"/>
        <w:left w:val="none" w:sz="0" w:space="0" w:color="auto"/>
        <w:bottom w:val="none" w:sz="0" w:space="0" w:color="auto"/>
        <w:right w:val="none" w:sz="0" w:space="0" w:color="auto"/>
      </w:divBdr>
    </w:div>
    <w:div w:id="1240990478">
      <w:bodyDiv w:val="1"/>
      <w:marLeft w:val="0"/>
      <w:marRight w:val="0"/>
      <w:marTop w:val="0"/>
      <w:marBottom w:val="0"/>
      <w:divBdr>
        <w:top w:val="none" w:sz="0" w:space="0" w:color="auto"/>
        <w:left w:val="none" w:sz="0" w:space="0" w:color="auto"/>
        <w:bottom w:val="none" w:sz="0" w:space="0" w:color="auto"/>
        <w:right w:val="none" w:sz="0" w:space="0" w:color="auto"/>
      </w:divBdr>
    </w:div>
    <w:div w:id="1243877330">
      <w:bodyDiv w:val="1"/>
      <w:marLeft w:val="0"/>
      <w:marRight w:val="0"/>
      <w:marTop w:val="0"/>
      <w:marBottom w:val="0"/>
      <w:divBdr>
        <w:top w:val="none" w:sz="0" w:space="0" w:color="auto"/>
        <w:left w:val="none" w:sz="0" w:space="0" w:color="auto"/>
        <w:bottom w:val="none" w:sz="0" w:space="0" w:color="auto"/>
        <w:right w:val="none" w:sz="0" w:space="0" w:color="auto"/>
      </w:divBdr>
    </w:div>
    <w:div w:id="1250851676">
      <w:bodyDiv w:val="1"/>
      <w:marLeft w:val="0"/>
      <w:marRight w:val="0"/>
      <w:marTop w:val="0"/>
      <w:marBottom w:val="0"/>
      <w:divBdr>
        <w:top w:val="none" w:sz="0" w:space="0" w:color="auto"/>
        <w:left w:val="none" w:sz="0" w:space="0" w:color="auto"/>
        <w:bottom w:val="none" w:sz="0" w:space="0" w:color="auto"/>
        <w:right w:val="none" w:sz="0" w:space="0" w:color="auto"/>
      </w:divBdr>
    </w:div>
    <w:div w:id="1296642429">
      <w:bodyDiv w:val="1"/>
      <w:marLeft w:val="0"/>
      <w:marRight w:val="0"/>
      <w:marTop w:val="0"/>
      <w:marBottom w:val="0"/>
      <w:divBdr>
        <w:top w:val="none" w:sz="0" w:space="0" w:color="auto"/>
        <w:left w:val="none" w:sz="0" w:space="0" w:color="auto"/>
        <w:bottom w:val="none" w:sz="0" w:space="0" w:color="auto"/>
        <w:right w:val="none" w:sz="0" w:space="0" w:color="auto"/>
      </w:divBdr>
    </w:div>
    <w:div w:id="1310475210">
      <w:bodyDiv w:val="1"/>
      <w:marLeft w:val="0"/>
      <w:marRight w:val="0"/>
      <w:marTop w:val="0"/>
      <w:marBottom w:val="0"/>
      <w:divBdr>
        <w:top w:val="none" w:sz="0" w:space="0" w:color="auto"/>
        <w:left w:val="none" w:sz="0" w:space="0" w:color="auto"/>
        <w:bottom w:val="none" w:sz="0" w:space="0" w:color="auto"/>
        <w:right w:val="none" w:sz="0" w:space="0" w:color="auto"/>
      </w:divBdr>
    </w:div>
    <w:div w:id="1342850283">
      <w:bodyDiv w:val="1"/>
      <w:marLeft w:val="0"/>
      <w:marRight w:val="0"/>
      <w:marTop w:val="0"/>
      <w:marBottom w:val="0"/>
      <w:divBdr>
        <w:top w:val="none" w:sz="0" w:space="0" w:color="auto"/>
        <w:left w:val="none" w:sz="0" w:space="0" w:color="auto"/>
        <w:bottom w:val="none" w:sz="0" w:space="0" w:color="auto"/>
        <w:right w:val="none" w:sz="0" w:space="0" w:color="auto"/>
      </w:divBdr>
      <w:divsChild>
        <w:div w:id="1452357031">
          <w:marLeft w:val="0"/>
          <w:marRight w:val="0"/>
          <w:marTop w:val="0"/>
          <w:marBottom w:val="0"/>
          <w:divBdr>
            <w:top w:val="none" w:sz="0" w:space="0" w:color="auto"/>
            <w:left w:val="none" w:sz="0" w:space="0" w:color="auto"/>
            <w:bottom w:val="none" w:sz="0" w:space="0" w:color="auto"/>
            <w:right w:val="none" w:sz="0" w:space="0" w:color="auto"/>
          </w:divBdr>
        </w:div>
      </w:divsChild>
    </w:div>
    <w:div w:id="1350451847">
      <w:bodyDiv w:val="1"/>
      <w:marLeft w:val="0"/>
      <w:marRight w:val="0"/>
      <w:marTop w:val="0"/>
      <w:marBottom w:val="0"/>
      <w:divBdr>
        <w:top w:val="none" w:sz="0" w:space="0" w:color="auto"/>
        <w:left w:val="none" w:sz="0" w:space="0" w:color="auto"/>
        <w:bottom w:val="none" w:sz="0" w:space="0" w:color="auto"/>
        <w:right w:val="none" w:sz="0" w:space="0" w:color="auto"/>
      </w:divBdr>
    </w:div>
    <w:div w:id="1351448268">
      <w:bodyDiv w:val="1"/>
      <w:marLeft w:val="0"/>
      <w:marRight w:val="0"/>
      <w:marTop w:val="0"/>
      <w:marBottom w:val="0"/>
      <w:divBdr>
        <w:top w:val="none" w:sz="0" w:space="0" w:color="auto"/>
        <w:left w:val="none" w:sz="0" w:space="0" w:color="auto"/>
        <w:bottom w:val="none" w:sz="0" w:space="0" w:color="auto"/>
        <w:right w:val="none" w:sz="0" w:space="0" w:color="auto"/>
      </w:divBdr>
    </w:div>
    <w:div w:id="1355879881">
      <w:bodyDiv w:val="1"/>
      <w:marLeft w:val="0"/>
      <w:marRight w:val="0"/>
      <w:marTop w:val="0"/>
      <w:marBottom w:val="0"/>
      <w:divBdr>
        <w:top w:val="none" w:sz="0" w:space="0" w:color="auto"/>
        <w:left w:val="none" w:sz="0" w:space="0" w:color="auto"/>
        <w:bottom w:val="none" w:sz="0" w:space="0" w:color="auto"/>
        <w:right w:val="none" w:sz="0" w:space="0" w:color="auto"/>
      </w:divBdr>
      <w:divsChild>
        <w:div w:id="790633739">
          <w:marLeft w:val="0"/>
          <w:marRight w:val="0"/>
          <w:marTop w:val="0"/>
          <w:marBottom w:val="0"/>
          <w:divBdr>
            <w:top w:val="none" w:sz="0" w:space="0" w:color="auto"/>
            <w:left w:val="none" w:sz="0" w:space="0" w:color="auto"/>
            <w:bottom w:val="none" w:sz="0" w:space="0" w:color="auto"/>
            <w:right w:val="none" w:sz="0" w:space="0" w:color="auto"/>
          </w:divBdr>
        </w:div>
      </w:divsChild>
    </w:div>
    <w:div w:id="1406106886">
      <w:bodyDiv w:val="1"/>
      <w:marLeft w:val="0"/>
      <w:marRight w:val="0"/>
      <w:marTop w:val="0"/>
      <w:marBottom w:val="0"/>
      <w:divBdr>
        <w:top w:val="none" w:sz="0" w:space="0" w:color="auto"/>
        <w:left w:val="none" w:sz="0" w:space="0" w:color="auto"/>
        <w:bottom w:val="none" w:sz="0" w:space="0" w:color="auto"/>
        <w:right w:val="none" w:sz="0" w:space="0" w:color="auto"/>
      </w:divBdr>
    </w:div>
    <w:div w:id="1428768886">
      <w:bodyDiv w:val="1"/>
      <w:marLeft w:val="0"/>
      <w:marRight w:val="0"/>
      <w:marTop w:val="0"/>
      <w:marBottom w:val="0"/>
      <w:divBdr>
        <w:top w:val="none" w:sz="0" w:space="0" w:color="auto"/>
        <w:left w:val="none" w:sz="0" w:space="0" w:color="auto"/>
        <w:bottom w:val="none" w:sz="0" w:space="0" w:color="auto"/>
        <w:right w:val="none" w:sz="0" w:space="0" w:color="auto"/>
      </w:divBdr>
    </w:div>
    <w:div w:id="1431975970">
      <w:bodyDiv w:val="1"/>
      <w:marLeft w:val="0"/>
      <w:marRight w:val="0"/>
      <w:marTop w:val="0"/>
      <w:marBottom w:val="0"/>
      <w:divBdr>
        <w:top w:val="none" w:sz="0" w:space="0" w:color="auto"/>
        <w:left w:val="none" w:sz="0" w:space="0" w:color="auto"/>
        <w:bottom w:val="none" w:sz="0" w:space="0" w:color="auto"/>
        <w:right w:val="none" w:sz="0" w:space="0" w:color="auto"/>
      </w:divBdr>
    </w:div>
    <w:div w:id="1453161605">
      <w:bodyDiv w:val="1"/>
      <w:marLeft w:val="0"/>
      <w:marRight w:val="0"/>
      <w:marTop w:val="0"/>
      <w:marBottom w:val="0"/>
      <w:divBdr>
        <w:top w:val="none" w:sz="0" w:space="0" w:color="auto"/>
        <w:left w:val="none" w:sz="0" w:space="0" w:color="auto"/>
        <w:bottom w:val="none" w:sz="0" w:space="0" w:color="auto"/>
        <w:right w:val="none" w:sz="0" w:space="0" w:color="auto"/>
      </w:divBdr>
    </w:div>
    <w:div w:id="1479415760">
      <w:bodyDiv w:val="1"/>
      <w:marLeft w:val="0"/>
      <w:marRight w:val="0"/>
      <w:marTop w:val="0"/>
      <w:marBottom w:val="0"/>
      <w:divBdr>
        <w:top w:val="none" w:sz="0" w:space="0" w:color="auto"/>
        <w:left w:val="none" w:sz="0" w:space="0" w:color="auto"/>
        <w:bottom w:val="none" w:sz="0" w:space="0" w:color="auto"/>
        <w:right w:val="none" w:sz="0" w:space="0" w:color="auto"/>
      </w:divBdr>
    </w:div>
    <w:div w:id="1481113752">
      <w:bodyDiv w:val="1"/>
      <w:marLeft w:val="0"/>
      <w:marRight w:val="0"/>
      <w:marTop w:val="0"/>
      <w:marBottom w:val="0"/>
      <w:divBdr>
        <w:top w:val="none" w:sz="0" w:space="0" w:color="auto"/>
        <w:left w:val="none" w:sz="0" w:space="0" w:color="auto"/>
        <w:bottom w:val="none" w:sz="0" w:space="0" w:color="auto"/>
        <w:right w:val="none" w:sz="0" w:space="0" w:color="auto"/>
      </w:divBdr>
    </w:div>
    <w:div w:id="1496843609">
      <w:bodyDiv w:val="1"/>
      <w:marLeft w:val="0"/>
      <w:marRight w:val="0"/>
      <w:marTop w:val="0"/>
      <w:marBottom w:val="0"/>
      <w:divBdr>
        <w:top w:val="none" w:sz="0" w:space="0" w:color="auto"/>
        <w:left w:val="none" w:sz="0" w:space="0" w:color="auto"/>
        <w:bottom w:val="none" w:sz="0" w:space="0" w:color="auto"/>
        <w:right w:val="none" w:sz="0" w:space="0" w:color="auto"/>
      </w:divBdr>
    </w:div>
    <w:div w:id="1505054147">
      <w:bodyDiv w:val="1"/>
      <w:marLeft w:val="0"/>
      <w:marRight w:val="0"/>
      <w:marTop w:val="0"/>
      <w:marBottom w:val="0"/>
      <w:divBdr>
        <w:top w:val="none" w:sz="0" w:space="0" w:color="auto"/>
        <w:left w:val="none" w:sz="0" w:space="0" w:color="auto"/>
        <w:bottom w:val="none" w:sz="0" w:space="0" w:color="auto"/>
        <w:right w:val="none" w:sz="0" w:space="0" w:color="auto"/>
      </w:divBdr>
    </w:div>
    <w:div w:id="1512336598">
      <w:bodyDiv w:val="1"/>
      <w:marLeft w:val="0"/>
      <w:marRight w:val="0"/>
      <w:marTop w:val="0"/>
      <w:marBottom w:val="0"/>
      <w:divBdr>
        <w:top w:val="none" w:sz="0" w:space="0" w:color="auto"/>
        <w:left w:val="none" w:sz="0" w:space="0" w:color="auto"/>
        <w:bottom w:val="none" w:sz="0" w:space="0" w:color="auto"/>
        <w:right w:val="none" w:sz="0" w:space="0" w:color="auto"/>
      </w:divBdr>
    </w:div>
    <w:div w:id="1520243810">
      <w:bodyDiv w:val="1"/>
      <w:marLeft w:val="0"/>
      <w:marRight w:val="0"/>
      <w:marTop w:val="0"/>
      <w:marBottom w:val="0"/>
      <w:divBdr>
        <w:top w:val="none" w:sz="0" w:space="0" w:color="auto"/>
        <w:left w:val="none" w:sz="0" w:space="0" w:color="auto"/>
        <w:bottom w:val="none" w:sz="0" w:space="0" w:color="auto"/>
        <w:right w:val="none" w:sz="0" w:space="0" w:color="auto"/>
      </w:divBdr>
    </w:div>
    <w:div w:id="1530222589">
      <w:bodyDiv w:val="1"/>
      <w:marLeft w:val="0"/>
      <w:marRight w:val="0"/>
      <w:marTop w:val="0"/>
      <w:marBottom w:val="0"/>
      <w:divBdr>
        <w:top w:val="none" w:sz="0" w:space="0" w:color="auto"/>
        <w:left w:val="none" w:sz="0" w:space="0" w:color="auto"/>
        <w:bottom w:val="none" w:sz="0" w:space="0" w:color="auto"/>
        <w:right w:val="none" w:sz="0" w:space="0" w:color="auto"/>
      </w:divBdr>
    </w:div>
    <w:div w:id="1540897721">
      <w:bodyDiv w:val="1"/>
      <w:marLeft w:val="0"/>
      <w:marRight w:val="0"/>
      <w:marTop w:val="0"/>
      <w:marBottom w:val="0"/>
      <w:divBdr>
        <w:top w:val="none" w:sz="0" w:space="0" w:color="auto"/>
        <w:left w:val="none" w:sz="0" w:space="0" w:color="auto"/>
        <w:bottom w:val="none" w:sz="0" w:space="0" w:color="auto"/>
        <w:right w:val="none" w:sz="0" w:space="0" w:color="auto"/>
      </w:divBdr>
    </w:div>
    <w:div w:id="1561407256">
      <w:bodyDiv w:val="1"/>
      <w:marLeft w:val="0"/>
      <w:marRight w:val="0"/>
      <w:marTop w:val="0"/>
      <w:marBottom w:val="0"/>
      <w:divBdr>
        <w:top w:val="none" w:sz="0" w:space="0" w:color="auto"/>
        <w:left w:val="none" w:sz="0" w:space="0" w:color="auto"/>
        <w:bottom w:val="none" w:sz="0" w:space="0" w:color="auto"/>
        <w:right w:val="none" w:sz="0" w:space="0" w:color="auto"/>
      </w:divBdr>
    </w:div>
    <w:div w:id="1575316270">
      <w:bodyDiv w:val="1"/>
      <w:marLeft w:val="0"/>
      <w:marRight w:val="0"/>
      <w:marTop w:val="0"/>
      <w:marBottom w:val="0"/>
      <w:divBdr>
        <w:top w:val="none" w:sz="0" w:space="0" w:color="auto"/>
        <w:left w:val="none" w:sz="0" w:space="0" w:color="auto"/>
        <w:bottom w:val="none" w:sz="0" w:space="0" w:color="auto"/>
        <w:right w:val="none" w:sz="0" w:space="0" w:color="auto"/>
      </w:divBdr>
    </w:div>
    <w:div w:id="1576894161">
      <w:bodyDiv w:val="1"/>
      <w:marLeft w:val="0"/>
      <w:marRight w:val="0"/>
      <w:marTop w:val="0"/>
      <w:marBottom w:val="0"/>
      <w:divBdr>
        <w:top w:val="none" w:sz="0" w:space="0" w:color="auto"/>
        <w:left w:val="none" w:sz="0" w:space="0" w:color="auto"/>
        <w:bottom w:val="none" w:sz="0" w:space="0" w:color="auto"/>
        <w:right w:val="none" w:sz="0" w:space="0" w:color="auto"/>
      </w:divBdr>
    </w:div>
    <w:div w:id="1596476145">
      <w:bodyDiv w:val="1"/>
      <w:marLeft w:val="0"/>
      <w:marRight w:val="0"/>
      <w:marTop w:val="0"/>
      <w:marBottom w:val="0"/>
      <w:divBdr>
        <w:top w:val="none" w:sz="0" w:space="0" w:color="auto"/>
        <w:left w:val="none" w:sz="0" w:space="0" w:color="auto"/>
        <w:bottom w:val="none" w:sz="0" w:space="0" w:color="auto"/>
        <w:right w:val="none" w:sz="0" w:space="0" w:color="auto"/>
      </w:divBdr>
    </w:div>
    <w:div w:id="1601255595">
      <w:bodyDiv w:val="1"/>
      <w:marLeft w:val="0"/>
      <w:marRight w:val="0"/>
      <w:marTop w:val="0"/>
      <w:marBottom w:val="0"/>
      <w:divBdr>
        <w:top w:val="none" w:sz="0" w:space="0" w:color="auto"/>
        <w:left w:val="none" w:sz="0" w:space="0" w:color="auto"/>
        <w:bottom w:val="none" w:sz="0" w:space="0" w:color="auto"/>
        <w:right w:val="none" w:sz="0" w:space="0" w:color="auto"/>
      </w:divBdr>
    </w:div>
    <w:div w:id="1610114477">
      <w:bodyDiv w:val="1"/>
      <w:marLeft w:val="0"/>
      <w:marRight w:val="0"/>
      <w:marTop w:val="0"/>
      <w:marBottom w:val="0"/>
      <w:divBdr>
        <w:top w:val="none" w:sz="0" w:space="0" w:color="auto"/>
        <w:left w:val="none" w:sz="0" w:space="0" w:color="auto"/>
        <w:bottom w:val="none" w:sz="0" w:space="0" w:color="auto"/>
        <w:right w:val="none" w:sz="0" w:space="0" w:color="auto"/>
      </w:divBdr>
    </w:div>
    <w:div w:id="1669552451">
      <w:bodyDiv w:val="1"/>
      <w:marLeft w:val="0"/>
      <w:marRight w:val="0"/>
      <w:marTop w:val="0"/>
      <w:marBottom w:val="0"/>
      <w:divBdr>
        <w:top w:val="none" w:sz="0" w:space="0" w:color="auto"/>
        <w:left w:val="none" w:sz="0" w:space="0" w:color="auto"/>
        <w:bottom w:val="none" w:sz="0" w:space="0" w:color="auto"/>
        <w:right w:val="none" w:sz="0" w:space="0" w:color="auto"/>
      </w:divBdr>
    </w:div>
    <w:div w:id="1680277743">
      <w:bodyDiv w:val="1"/>
      <w:marLeft w:val="0"/>
      <w:marRight w:val="0"/>
      <w:marTop w:val="0"/>
      <w:marBottom w:val="0"/>
      <w:divBdr>
        <w:top w:val="none" w:sz="0" w:space="0" w:color="auto"/>
        <w:left w:val="none" w:sz="0" w:space="0" w:color="auto"/>
        <w:bottom w:val="none" w:sz="0" w:space="0" w:color="auto"/>
        <w:right w:val="none" w:sz="0" w:space="0" w:color="auto"/>
      </w:divBdr>
    </w:div>
    <w:div w:id="1691681757">
      <w:bodyDiv w:val="1"/>
      <w:marLeft w:val="0"/>
      <w:marRight w:val="0"/>
      <w:marTop w:val="0"/>
      <w:marBottom w:val="0"/>
      <w:divBdr>
        <w:top w:val="none" w:sz="0" w:space="0" w:color="auto"/>
        <w:left w:val="none" w:sz="0" w:space="0" w:color="auto"/>
        <w:bottom w:val="none" w:sz="0" w:space="0" w:color="auto"/>
        <w:right w:val="none" w:sz="0" w:space="0" w:color="auto"/>
      </w:divBdr>
    </w:div>
    <w:div w:id="1697732502">
      <w:bodyDiv w:val="1"/>
      <w:marLeft w:val="0"/>
      <w:marRight w:val="0"/>
      <w:marTop w:val="0"/>
      <w:marBottom w:val="0"/>
      <w:divBdr>
        <w:top w:val="none" w:sz="0" w:space="0" w:color="auto"/>
        <w:left w:val="none" w:sz="0" w:space="0" w:color="auto"/>
        <w:bottom w:val="none" w:sz="0" w:space="0" w:color="auto"/>
        <w:right w:val="none" w:sz="0" w:space="0" w:color="auto"/>
      </w:divBdr>
    </w:div>
    <w:div w:id="1718819569">
      <w:bodyDiv w:val="1"/>
      <w:marLeft w:val="0"/>
      <w:marRight w:val="0"/>
      <w:marTop w:val="0"/>
      <w:marBottom w:val="0"/>
      <w:divBdr>
        <w:top w:val="none" w:sz="0" w:space="0" w:color="auto"/>
        <w:left w:val="none" w:sz="0" w:space="0" w:color="auto"/>
        <w:bottom w:val="none" w:sz="0" w:space="0" w:color="auto"/>
        <w:right w:val="none" w:sz="0" w:space="0" w:color="auto"/>
      </w:divBdr>
    </w:div>
    <w:div w:id="1722711323">
      <w:bodyDiv w:val="1"/>
      <w:marLeft w:val="0"/>
      <w:marRight w:val="0"/>
      <w:marTop w:val="0"/>
      <w:marBottom w:val="0"/>
      <w:divBdr>
        <w:top w:val="none" w:sz="0" w:space="0" w:color="auto"/>
        <w:left w:val="none" w:sz="0" w:space="0" w:color="auto"/>
        <w:bottom w:val="none" w:sz="0" w:space="0" w:color="auto"/>
        <w:right w:val="none" w:sz="0" w:space="0" w:color="auto"/>
      </w:divBdr>
    </w:div>
    <w:div w:id="1726097854">
      <w:bodyDiv w:val="1"/>
      <w:marLeft w:val="0"/>
      <w:marRight w:val="0"/>
      <w:marTop w:val="0"/>
      <w:marBottom w:val="0"/>
      <w:divBdr>
        <w:top w:val="none" w:sz="0" w:space="0" w:color="auto"/>
        <w:left w:val="none" w:sz="0" w:space="0" w:color="auto"/>
        <w:bottom w:val="none" w:sz="0" w:space="0" w:color="auto"/>
        <w:right w:val="none" w:sz="0" w:space="0" w:color="auto"/>
      </w:divBdr>
    </w:div>
    <w:div w:id="1726753617">
      <w:bodyDiv w:val="1"/>
      <w:marLeft w:val="0"/>
      <w:marRight w:val="0"/>
      <w:marTop w:val="0"/>
      <w:marBottom w:val="0"/>
      <w:divBdr>
        <w:top w:val="none" w:sz="0" w:space="0" w:color="auto"/>
        <w:left w:val="none" w:sz="0" w:space="0" w:color="auto"/>
        <w:bottom w:val="none" w:sz="0" w:space="0" w:color="auto"/>
        <w:right w:val="none" w:sz="0" w:space="0" w:color="auto"/>
      </w:divBdr>
    </w:div>
    <w:div w:id="1732457974">
      <w:bodyDiv w:val="1"/>
      <w:marLeft w:val="0"/>
      <w:marRight w:val="0"/>
      <w:marTop w:val="0"/>
      <w:marBottom w:val="0"/>
      <w:divBdr>
        <w:top w:val="none" w:sz="0" w:space="0" w:color="auto"/>
        <w:left w:val="none" w:sz="0" w:space="0" w:color="auto"/>
        <w:bottom w:val="none" w:sz="0" w:space="0" w:color="auto"/>
        <w:right w:val="none" w:sz="0" w:space="0" w:color="auto"/>
      </w:divBdr>
    </w:div>
    <w:div w:id="1755012478">
      <w:bodyDiv w:val="1"/>
      <w:marLeft w:val="0"/>
      <w:marRight w:val="0"/>
      <w:marTop w:val="0"/>
      <w:marBottom w:val="0"/>
      <w:divBdr>
        <w:top w:val="none" w:sz="0" w:space="0" w:color="auto"/>
        <w:left w:val="none" w:sz="0" w:space="0" w:color="auto"/>
        <w:bottom w:val="none" w:sz="0" w:space="0" w:color="auto"/>
        <w:right w:val="none" w:sz="0" w:space="0" w:color="auto"/>
      </w:divBdr>
    </w:div>
    <w:div w:id="1777864355">
      <w:bodyDiv w:val="1"/>
      <w:marLeft w:val="0"/>
      <w:marRight w:val="0"/>
      <w:marTop w:val="0"/>
      <w:marBottom w:val="0"/>
      <w:divBdr>
        <w:top w:val="none" w:sz="0" w:space="0" w:color="auto"/>
        <w:left w:val="none" w:sz="0" w:space="0" w:color="auto"/>
        <w:bottom w:val="none" w:sz="0" w:space="0" w:color="auto"/>
        <w:right w:val="none" w:sz="0" w:space="0" w:color="auto"/>
      </w:divBdr>
    </w:div>
    <w:div w:id="1793553072">
      <w:bodyDiv w:val="1"/>
      <w:marLeft w:val="0"/>
      <w:marRight w:val="0"/>
      <w:marTop w:val="0"/>
      <w:marBottom w:val="0"/>
      <w:divBdr>
        <w:top w:val="none" w:sz="0" w:space="0" w:color="auto"/>
        <w:left w:val="none" w:sz="0" w:space="0" w:color="auto"/>
        <w:bottom w:val="none" w:sz="0" w:space="0" w:color="auto"/>
        <w:right w:val="none" w:sz="0" w:space="0" w:color="auto"/>
      </w:divBdr>
    </w:div>
    <w:div w:id="1796370540">
      <w:bodyDiv w:val="1"/>
      <w:marLeft w:val="0"/>
      <w:marRight w:val="0"/>
      <w:marTop w:val="0"/>
      <w:marBottom w:val="0"/>
      <w:divBdr>
        <w:top w:val="none" w:sz="0" w:space="0" w:color="auto"/>
        <w:left w:val="none" w:sz="0" w:space="0" w:color="auto"/>
        <w:bottom w:val="none" w:sz="0" w:space="0" w:color="auto"/>
        <w:right w:val="none" w:sz="0" w:space="0" w:color="auto"/>
      </w:divBdr>
    </w:div>
    <w:div w:id="1804807151">
      <w:bodyDiv w:val="1"/>
      <w:marLeft w:val="0"/>
      <w:marRight w:val="0"/>
      <w:marTop w:val="0"/>
      <w:marBottom w:val="0"/>
      <w:divBdr>
        <w:top w:val="none" w:sz="0" w:space="0" w:color="auto"/>
        <w:left w:val="none" w:sz="0" w:space="0" w:color="auto"/>
        <w:bottom w:val="none" w:sz="0" w:space="0" w:color="auto"/>
        <w:right w:val="none" w:sz="0" w:space="0" w:color="auto"/>
      </w:divBdr>
    </w:div>
    <w:div w:id="1830973211">
      <w:bodyDiv w:val="1"/>
      <w:marLeft w:val="0"/>
      <w:marRight w:val="0"/>
      <w:marTop w:val="0"/>
      <w:marBottom w:val="0"/>
      <w:divBdr>
        <w:top w:val="none" w:sz="0" w:space="0" w:color="auto"/>
        <w:left w:val="none" w:sz="0" w:space="0" w:color="auto"/>
        <w:bottom w:val="none" w:sz="0" w:space="0" w:color="auto"/>
        <w:right w:val="none" w:sz="0" w:space="0" w:color="auto"/>
      </w:divBdr>
    </w:div>
    <w:div w:id="1833519557">
      <w:bodyDiv w:val="1"/>
      <w:marLeft w:val="0"/>
      <w:marRight w:val="0"/>
      <w:marTop w:val="0"/>
      <w:marBottom w:val="0"/>
      <w:divBdr>
        <w:top w:val="none" w:sz="0" w:space="0" w:color="auto"/>
        <w:left w:val="none" w:sz="0" w:space="0" w:color="auto"/>
        <w:bottom w:val="none" w:sz="0" w:space="0" w:color="auto"/>
        <w:right w:val="none" w:sz="0" w:space="0" w:color="auto"/>
      </w:divBdr>
    </w:div>
    <w:div w:id="1856572591">
      <w:bodyDiv w:val="1"/>
      <w:marLeft w:val="0"/>
      <w:marRight w:val="0"/>
      <w:marTop w:val="0"/>
      <w:marBottom w:val="0"/>
      <w:divBdr>
        <w:top w:val="none" w:sz="0" w:space="0" w:color="auto"/>
        <w:left w:val="none" w:sz="0" w:space="0" w:color="auto"/>
        <w:bottom w:val="none" w:sz="0" w:space="0" w:color="auto"/>
        <w:right w:val="none" w:sz="0" w:space="0" w:color="auto"/>
      </w:divBdr>
    </w:div>
    <w:div w:id="1857189449">
      <w:bodyDiv w:val="1"/>
      <w:marLeft w:val="0"/>
      <w:marRight w:val="0"/>
      <w:marTop w:val="0"/>
      <w:marBottom w:val="0"/>
      <w:divBdr>
        <w:top w:val="none" w:sz="0" w:space="0" w:color="auto"/>
        <w:left w:val="none" w:sz="0" w:space="0" w:color="auto"/>
        <w:bottom w:val="none" w:sz="0" w:space="0" w:color="auto"/>
        <w:right w:val="none" w:sz="0" w:space="0" w:color="auto"/>
      </w:divBdr>
    </w:div>
    <w:div w:id="1872066479">
      <w:bodyDiv w:val="1"/>
      <w:marLeft w:val="0"/>
      <w:marRight w:val="0"/>
      <w:marTop w:val="0"/>
      <w:marBottom w:val="0"/>
      <w:divBdr>
        <w:top w:val="none" w:sz="0" w:space="0" w:color="auto"/>
        <w:left w:val="none" w:sz="0" w:space="0" w:color="auto"/>
        <w:bottom w:val="none" w:sz="0" w:space="0" w:color="auto"/>
        <w:right w:val="none" w:sz="0" w:space="0" w:color="auto"/>
      </w:divBdr>
    </w:div>
    <w:div w:id="1882932497">
      <w:bodyDiv w:val="1"/>
      <w:marLeft w:val="0"/>
      <w:marRight w:val="0"/>
      <w:marTop w:val="0"/>
      <w:marBottom w:val="0"/>
      <w:divBdr>
        <w:top w:val="none" w:sz="0" w:space="0" w:color="auto"/>
        <w:left w:val="none" w:sz="0" w:space="0" w:color="auto"/>
        <w:bottom w:val="none" w:sz="0" w:space="0" w:color="auto"/>
        <w:right w:val="none" w:sz="0" w:space="0" w:color="auto"/>
      </w:divBdr>
    </w:div>
    <w:div w:id="1911845995">
      <w:bodyDiv w:val="1"/>
      <w:marLeft w:val="0"/>
      <w:marRight w:val="0"/>
      <w:marTop w:val="0"/>
      <w:marBottom w:val="0"/>
      <w:divBdr>
        <w:top w:val="none" w:sz="0" w:space="0" w:color="auto"/>
        <w:left w:val="none" w:sz="0" w:space="0" w:color="auto"/>
        <w:bottom w:val="none" w:sz="0" w:space="0" w:color="auto"/>
        <w:right w:val="none" w:sz="0" w:space="0" w:color="auto"/>
      </w:divBdr>
    </w:div>
    <w:div w:id="1912034455">
      <w:bodyDiv w:val="1"/>
      <w:marLeft w:val="0"/>
      <w:marRight w:val="0"/>
      <w:marTop w:val="0"/>
      <w:marBottom w:val="0"/>
      <w:divBdr>
        <w:top w:val="none" w:sz="0" w:space="0" w:color="auto"/>
        <w:left w:val="none" w:sz="0" w:space="0" w:color="auto"/>
        <w:bottom w:val="none" w:sz="0" w:space="0" w:color="auto"/>
        <w:right w:val="none" w:sz="0" w:space="0" w:color="auto"/>
      </w:divBdr>
    </w:div>
    <w:div w:id="1954246323">
      <w:bodyDiv w:val="1"/>
      <w:marLeft w:val="0"/>
      <w:marRight w:val="0"/>
      <w:marTop w:val="0"/>
      <w:marBottom w:val="0"/>
      <w:divBdr>
        <w:top w:val="none" w:sz="0" w:space="0" w:color="auto"/>
        <w:left w:val="none" w:sz="0" w:space="0" w:color="auto"/>
        <w:bottom w:val="none" w:sz="0" w:space="0" w:color="auto"/>
        <w:right w:val="none" w:sz="0" w:space="0" w:color="auto"/>
      </w:divBdr>
    </w:div>
    <w:div w:id="2009206045">
      <w:bodyDiv w:val="1"/>
      <w:marLeft w:val="0"/>
      <w:marRight w:val="0"/>
      <w:marTop w:val="0"/>
      <w:marBottom w:val="0"/>
      <w:divBdr>
        <w:top w:val="none" w:sz="0" w:space="0" w:color="auto"/>
        <w:left w:val="none" w:sz="0" w:space="0" w:color="auto"/>
        <w:bottom w:val="none" w:sz="0" w:space="0" w:color="auto"/>
        <w:right w:val="none" w:sz="0" w:space="0" w:color="auto"/>
      </w:divBdr>
    </w:div>
    <w:div w:id="2014451841">
      <w:bodyDiv w:val="1"/>
      <w:marLeft w:val="0"/>
      <w:marRight w:val="0"/>
      <w:marTop w:val="0"/>
      <w:marBottom w:val="0"/>
      <w:divBdr>
        <w:top w:val="none" w:sz="0" w:space="0" w:color="auto"/>
        <w:left w:val="none" w:sz="0" w:space="0" w:color="auto"/>
        <w:bottom w:val="none" w:sz="0" w:space="0" w:color="auto"/>
        <w:right w:val="none" w:sz="0" w:space="0" w:color="auto"/>
      </w:divBdr>
    </w:div>
    <w:div w:id="2018581287">
      <w:bodyDiv w:val="1"/>
      <w:marLeft w:val="0"/>
      <w:marRight w:val="0"/>
      <w:marTop w:val="0"/>
      <w:marBottom w:val="0"/>
      <w:divBdr>
        <w:top w:val="none" w:sz="0" w:space="0" w:color="auto"/>
        <w:left w:val="none" w:sz="0" w:space="0" w:color="auto"/>
        <w:bottom w:val="none" w:sz="0" w:space="0" w:color="auto"/>
        <w:right w:val="none" w:sz="0" w:space="0" w:color="auto"/>
      </w:divBdr>
    </w:div>
    <w:div w:id="2020813861">
      <w:bodyDiv w:val="1"/>
      <w:marLeft w:val="0"/>
      <w:marRight w:val="0"/>
      <w:marTop w:val="0"/>
      <w:marBottom w:val="0"/>
      <w:divBdr>
        <w:top w:val="none" w:sz="0" w:space="0" w:color="auto"/>
        <w:left w:val="none" w:sz="0" w:space="0" w:color="auto"/>
        <w:bottom w:val="none" w:sz="0" w:space="0" w:color="auto"/>
        <w:right w:val="none" w:sz="0" w:space="0" w:color="auto"/>
      </w:divBdr>
    </w:div>
    <w:div w:id="2031293461">
      <w:bodyDiv w:val="1"/>
      <w:marLeft w:val="0"/>
      <w:marRight w:val="0"/>
      <w:marTop w:val="0"/>
      <w:marBottom w:val="0"/>
      <w:divBdr>
        <w:top w:val="none" w:sz="0" w:space="0" w:color="auto"/>
        <w:left w:val="none" w:sz="0" w:space="0" w:color="auto"/>
        <w:bottom w:val="none" w:sz="0" w:space="0" w:color="auto"/>
        <w:right w:val="none" w:sz="0" w:space="0" w:color="auto"/>
      </w:divBdr>
    </w:div>
    <w:div w:id="2040887566">
      <w:bodyDiv w:val="1"/>
      <w:marLeft w:val="0"/>
      <w:marRight w:val="0"/>
      <w:marTop w:val="0"/>
      <w:marBottom w:val="0"/>
      <w:divBdr>
        <w:top w:val="none" w:sz="0" w:space="0" w:color="auto"/>
        <w:left w:val="none" w:sz="0" w:space="0" w:color="auto"/>
        <w:bottom w:val="none" w:sz="0" w:space="0" w:color="auto"/>
        <w:right w:val="none" w:sz="0" w:space="0" w:color="auto"/>
      </w:divBdr>
    </w:div>
    <w:div w:id="2042970184">
      <w:bodyDiv w:val="1"/>
      <w:marLeft w:val="0"/>
      <w:marRight w:val="0"/>
      <w:marTop w:val="0"/>
      <w:marBottom w:val="0"/>
      <w:divBdr>
        <w:top w:val="none" w:sz="0" w:space="0" w:color="auto"/>
        <w:left w:val="none" w:sz="0" w:space="0" w:color="auto"/>
        <w:bottom w:val="none" w:sz="0" w:space="0" w:color="auto"/>
        <w:right w:val="none" w:sz="0" w:space="0" w:color="auto"/>
      </w:divBdr>
    </w:div>
    <w:div w:id="2080248738">
      <w:bodyDiv w:val="1"/>
      <w:marLeft w:val="0"/>
      <w:marRight w:val="0"/>
      <w:marTop w:val="0"/>
      <w:marBottom w:val="0"/>
      <w:divBdr>
        <w:top w:val="none" w:sz="0" w:space="0" w:color="auto"/>
        <w:left w:val="none" w:sz="0" w:space="0" w:color="auto"/>
        <w:bottom w:val="none" w:sz="0" w:space="0" w:color="auto"/>
        <w:right w:val="none" w:sz="0" w:space="0" w:color="auto"/>
      </w:divBdr>
    </w:div>
    <w:div w:id="2126926668">
      <w:bodyDiv w:val="1"/>
      <w:marLeft w:val="0"/>
      <w:marRight w:val="0"/>
      <w:marTop w:val="0"/>
      <w:marBottom w:val="0"/>
      <w:divBdr>
        <w:top w:val="none" w:sz="0" w:space="0" w:color="auto"/>
        <w:left w:val="none" w:sz="0" w:space="0" w:color="auto"/>
        <w:bottom w:val="none" w:sz="0" w:space="0" w:color="auto"/>
        <w:right w:val="none" w:sz="0" w:space="0" w:color="auto"/>
      </w:divBdr>
    </w:div>
    <w:div w:id="2140490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AppData\Roaming\Microsoft\Word\www.cninfo.com.cn" TargetMode="External"/><Relationship Id="rId13" Type="http://schemas.openxmlformats.org/officeDocument/2006/relationships/hyperlink" Target="http://www.cninfo.com.c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nfo.com.c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info.com.cn"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cninfo.com.c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ninfo.com.cn" TargetMode="External"/><Relationship Id="rId14" Type="http://schemas.openxmlformats.org/officeDocument/2006/relationships/hyperlink" Target="http://www.cninfo.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CAEFE-4C78-4A77-A841-5553866D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181</Pages>
  <Words>29391</Words>
  <Characters>167531</Characters>
  <Application>Microsoft Office Word</Application>
  <DocSecurity>0</DocSecurity>
  <Lines>1396</Lines>
  <Paragraphs>393</Paragraphs>
  <ScaleCrop>false</ScaleCrop>
  <Company/>
  <LinksUpToDate>false</LinksUpToDate>
  <CharactersWithSpaces>196529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2024-03-31T11:39:00Z</dcterms:created>
  <dcterms:modified xsi:type="dcterms:W3CDTF">2024-04-01T09:15:00Z</dcterms:modified>
</cp:coreProperties>
</file>